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B8" w:rsidRPr="00022CB8" w:rsidRDefault="00022CB8" w:rsidP="00022CB8">
      <w:pPr>
        <w:rPr>
          <w:rFonts w:ascii="Arial" w:hAnsi="Arial" w:cs="Arial"/>
          <w:b/>
        </w:rPr>
      </w:pPr>
      <w:bookmarkStart w:id="0" w:name="_GoBack"/>
      <w:bookmarkEnd w:id="0"/>
      <w:r w:rsidRPr="00022CB8">
        <w:rPr>
          <w:rFonts w:ascii="Arial" w:hAnsi="Arial" w:cs="Arial"/>
          <w:b/>
        </w:rPr>
        <w:tab/>
      </w:r>
      <w:r w:rsidRPr="00022CB8">
        <w:rPr>
          <w:rFonts w:ascii="Arial" w:hAnsi="Arial" w:cs="Arial"/>
          <w:b/>
        </w:rPr>
        <w:tab/>
      </w:r>
      <w:r w:rsidRPr="00022CB8">
        <w:rPr>
          <w:rFonts w:ascii="Arial" w:hAnsi="Arial" w:cs="Arial"/>
          <w:b/>
        </w:rPr>
        <w:tab/>
      </w:r>
      <w:r w:rsidRPr="00022CB8">
        <w:rPr>
          <w:rFonts w:ascii="Arial" w:hAnsi="Arial" w:cs="Arial"/>
          <w:b/>
        </w:rPr>
        <w:tab/>
        <w:t xml:space="preserve">            </w:t>
      </w:r>
      <w:r w:rsidRPr="00022CB8">
        <w:rPr>
          <w:rFonts w:ascii="Arial" w:hAnsi="Arial" w:cs="Arial"/>
          <w:b/>
        </w:rPr>
        <w:tab/>
      </w:r>
      <w:r w:rsidRPr="00022CB8">
        <w:rPr>
          <w:noProof/>
          <w:lang w:eastAsia="en-IE"/>
        </w:rPr>
        <w:drawing>
          <wp:inline distT="0" distB="0" distL="0" distR="0" wp14:anchorId="3392C80D" wp14:editId="21115A90">
            <wp:extent cx="2867025" cy="844962"/>
            <wp:effectExtent l="0" t="0" r="0" b="0"/>
            <wp:docPr id="1" name="Picture 1" descr="http://qnet/Communications/Corporate%20logos/QQI%20Logos/QQI-RGB%2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net/Communications/Corporate%20logos/QQI%20Logos/QQI-RGB%203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7025" cy="844962"/>
                    </a:xfrm>
                    <a:prstGeom prst="rect">
                      <a:avLst/>
                    </a:prstGeom>
                    <a:noFill/>
                    <a:ln>
                      <a:noFill/>
                    </a:ln>
                  </pic:spPr>
                </pic:pic>
              </a:graphicData>
            </a:graphic>
          </wp:inline>
        </w:drawing>
      </w:r>
    </w:p>
    <w:p w:rsidR="00022CB8" w:rsidRPr="00022CB8" w:rsidRDefault="00022CB8" w:rsidP="00022CB8">
      <w:pPr>
        <w:rPr>
          <w:rFonts w:ascii="Arial" w:hAnsi="Arial" w:cs="Arial"/>
          <w:b/>
        </w:rPr>
      </w:pPr>
    </w:p>
    <w:p w:rsidR="00022CB8" w:rsidRPr="00022CB8" w:rsidRDefault="00022CB8" w:rsidP="00022CB8">
      <w:pPr>
        <w:rPr>
          <w:rFonts w:ascii="Arial" w:hAnsi="Arial" w:cs="Arial"/>
          <w:b/>
        </w:rPr>
      </w:pPr>
    </w:p>
    <w:p w:rsidR="00022CB8" w:rsidRPr="00022CB8" w:rsidRDefault="00022CB8" w:rsidP="00022CB8">
      <w:pPr>
        <w:rPr>
          <w:rFonts w:ascii="Arial" w:hAnsi="Arial" w:cs="Arial"/>
          <w:b/>
        </w:rPr>
      </w:pPr>
    </w:p>
    <w:p w:rsidR="00022CB8" w:rsidRPr="00022CB8" w:rsidRDefault="00022CB8" w:rsidP="00022CB8">
      <w:pPr>
        <w:rPr>
          <w:rFonts w:ascii="Arial" w:hAnsi="Arial" w:cs="Arial"/>
          <w:b/>
        </w:rPr>
      </w:pPr>
    </w:p>
    <w:p w:rsidR="00022CB8" w:rsidRPr="00022CB8" w:rsidRDefault="00022CB8" w:rsidP="00022CB8">
      <w:pPr>
        <w:rPr>
          <w:rFonts w:ascii="Arial" w:hAnsi="Arial" w:cs="Arial"/>
          <w:b/>
        </w:rPr>
      </w:pPr>
    </w:p>
    <w:p w:rsidR="00022CB8" w:rsidRPr="00022CB8" w:rsidRDefault="00022CB8" w:rsidP="00022CB8">
      <w:pPr>
        <w:rPr>
          <w:rFonts w:ascii="Arial" w:hAnsi="Arial" w:cs="Arial"/>
          <w:b/>
        </w:rPr>
      </w:pPr>
    </w:p>
    <w:p w:rsidR="00022CB8" w:rsidRPr="00022CB8" w:rsidRDefault="00022CB8" w:rsidP="00022CB8">
      <w:pPr>
        <w:rPr>
          <w:rFonts w:ascii="Arial" w:hAnsi="Arial" w:cs="Arial"/>
          <w:b/>
        </w:rPr>
      </w:pPr>
    </w:p>
    <w:p w:rsidR="00022CB8" w:rsidRPr="00022CB8" w:rsidRDefault="00022CB8" w:rsidP="00022CB8">
      <w:pPr>
        <w:rPr>
          <w:rFonts w:ascii="Arial" w:hAnsi="Arial" w:cs="Arial"/>
          <w:b/>
          <w:sz w:val="36"/>
          <w:szCs w:val="36"/>
        </w:rPr>
      </w:pPr>
    </w:p>
    <w:p w:rsidR="00022CB8" w:rsidRPr="00022CB8" w:rsidRDefault="00022CB8" w:rsidP="00022CB8">
      <w:pPr>
        <w:pBdr>
          <w:bottom w:val="single" w:sz="8" w:space="4" w:color="4F81BD" w:themeColor="accent1"/>
        </w:pBdr>
        <w:spacing w:after="300" w:line="360" w:lineRule="auto"/>
        <w:contextualSpacing/>
        <w:rPr>
          <w:rFonts w:eastAsiaTheme="majorEastAsia" w:cstheme="majorBidi"/>
          <w:color w:val="17365D" w:themeColor="text2" w:themeShade="BF"/>
          <w:spacing w:val="5"/>
          <w:kern w:val="28"/>
          <w:sz w:val="52"/>
          <w:szCs w:val="52"/>
        </w:rPr>
      </w:pPr>
      <w:r w:rsidRPr="00022CB8">
        <w:rPr>
          <w:rFonts w:eastAsiaTheme="majorEastAsia" w:cs="Arial"/>
          <w:color w:val="17365D" w:themeColor="text2" w:themeShade="BF"/>
          <w:spacing w:val="5"/>
          <w:kern w:val="28"/>
          <w:sz w:val="52"/>
          <w:szCs w:val="52"/>
        </w:rPr>
        <w:t xml:space="preserve">Submission on the </w:t>
      </w:r>
      <w:r w:rsidRPr="00022CB8">
        <w:rPr>
          <w:rFonts w:eastAsiaTheme="majorEastAsia" w:cstheme="majorBidi"/>
          <w:color w:val="17365D" w:themeColor="text2" w:themeShade="BF"/>
          <w:spacing w:val="5"/>
          <w:kern w:val="28"/>
          <w:sz w:val="52"/>
          <w:szCs w:val="52"/>
        </w:rPr>
        <w:t xml:space="preserve">Review of Ireland’s International Education Strategy </w:t>
      </w:r>
    </w:p>
    <w:p w:rsidR="00022CB8" w:rsidRPr="00022CB8" w:rsidRDefault="00022CB8" w:rsidP="00022CB8">
      <w:pPr>
        <w:pBdr>
          <w:bottom w:val="single" w:sz="8" w:space="4" w:color="4F81BD" w:themeColor="accent1"/>
        </w:pBdr>
        <w:spacing w:after="300" w:line="240" w:lineRule="auto"/>
        <w:contextualSpacing/>
        <w:rPr>
          <w:rFonts w:ascii="Georgia" w:eastAsiaTheme="majorEastAsia" w:hAnsi="Georgia" w:cs="Arial"/>
          <w:color w:val="17365D" w:themeColor="text2" w:themeShade="BF"/>
          <w:spacing w:val="5"/>
          <w:kern w:val="28"/>
          <w:sz w:val="36"/>
          <w:szCs w:val="36"/>
        </w:rPr>
      </w:pPr>
      <w:r w:rsidRPr="00022CB8">
        <w:rPr>
          <w:rFonts w:ascii="Georgia" w:eastAsiaTheme="majorEastAsia" w:hAnsi="Georgia" w:cs="Arial"/>
          <w:color w:val="17365D" w:themeColor="text2" w:themeShade="BF"/>
          <w:spacing w:val="5"/>
          <w:kern w:val="28"/>
          <w:sz w:val="36"/>
          <w:szCs w:val="36"/>
        </w:rPr>
        <w:br/>
      </w:r>
      <w:r w:rsidRPr="00022CB8">
        <w:rPr>
          <w:rFonts w:ascii="Georgia" w:eastAsiaTheme="majorEastAsia" w:hAnsi="Georgia" w:cs="Arial"/>
          <w:color w:val="17365D" w:themeColor="text2" w:themeShade="BF"/>
          <w:spacing w:val="5"/>
          <w:kern w:val="28"/>
          <w:sz w:val="36"/>
          <w:szCs w:val="36"/>
        </w:rPr>
        <w:br/>
      </w:r>
      <w:r>
        <w:rPr>
          <w:rFonts w:ascii="Georgia" w:eastAsiaTheme="majorEastAsia" w:hAnsi="Georgia" w:cs="Arial"/>
          <w:color w:val="17365D" w:themeColor="text2" w:themeShade="BF"/>
          <w:spacing w:val="5"/>
          <w:kern w:val="28"/>
          <w:sz w:val="36"/>
          <w:szCs w:val="36"/>
        </w:rPr>
        <w:t>October 2013</w:t>
      </w:r>
      <w:r w:rsidRPr="00022CB8">
        <w:rPr>
          <w:rFonts w:ascii="Georgia" w:eastAsiaTheme="majorEastAsia" w:hAnsi="Georgia" w:cs="Arial"/>
          <w:color w:val="17365D" w:themeColor="text2" w:themeShade="BF"/>
          <w:spacing w:val="5"/>
          <w:kern w:val="28"/>
          <w:sz w:val="36"/>
          <w:szCs w:val="36"/>
        </w:rPr>
        <w:br/>
      </w:r>
    </w:p>
    <w:p w:rsidR="00022CB8" w:rsidRPr="00022CB8" w:rsidRDefault="00022CB8" w:rsidP="00022CB8"/>
    <w:p w:rsidR="00022CB8" w:rsidRPr="00022CB8" w:rsidRDefault="00022CB8" w:rsidP="00022CB8"/>
    <w:p w:rsidR="00022CB8" w:rsidRPr="00022CB8" w:rsidRDefault="00022CB8" w:rsidP="00022CB8">
      <w:pPr>
        <w:rPr>
          <w:sz w:val="36"/>
          <w:szCs w:val="36"/>
        </w:rPr>
      </w:pPr>
    </w:p>
    <w:p w:rsidR="00022CB8" w:rsidRPr="00022CB8" w:rsidRDefault="00022CB8" w:rsidP="00022CB8">
      <w:pPr>
        <w:rPr>
          <w:rFonts w:ascii="Georgia" w:hAnsi="Georgia" w:cs="Arial"/>
          <w:b/>
        </w:rPr>
      </w:pPr>
    </w:p>
    <w:p w:rsidR="00022CB8" w:rsidRPr="00022CB8" w:rsidRDefault="00022CB8" w:rsidP="00022CB8">
      <w:pPr>
        <w:rPr>
          <w:rFonts w:ascii="Arial" w:hAnsi="Arial" w:cs="Arial"/>
          <w:b/>
        </w:rPr>
      </w:pPr>
      <w:r w:rsidRPr="00022CB8">
        <w:rPr>
          <w:rFonts w:ascii="Arial" w:hAnsi="Arial" w:cs="Arial"/>
          <w:b/>
        </w:rPr>
        <w:br w:type="page"/>
      </w:r>
    </w:p>
    <w:p w:rsidR="00022CB8" w:rsidRPr="00022CB8" w:rsidRDefault="00022CB8" w:rsidP="000C2623">
      <w:pPr>
        <w:spacing w:line="360" w:lineRule="auto"/>
        <w:rPr>
          <w:color w:val="365F91" w:themeColor="accent1" w:themeShade="BF"/>
          <w:sz w:val="36"/>
          <w:szCs w:val="36"/>
        </w:rPr>
      </w:pPr>
      <w:r w:rsidRPr="00022CB8">
        <w:rPr>
          <w:color w:val="365F91" w:themeColor="accent1" w:themeShade="BF"/>
          <w:sz w:val="36"/>
          <w:szCs w:val="36"/>
        </w:rPr>
        <w:lastRenderedPageBreak/>
        <w:t>Introduction</w:t>
      </w:r>
    </w:p>
    <w:p w:rsidR="00466B88" w:rsidRPr="000C2623" w:rsidRDefault="00466B88" w:rsidP="000C2623">
      <w:pPr>
        <w:spacing w:line="360" w:lineRule="auto"/>
        <w:rPr>
          <w:sz w:val="24"/>
          <w:szCs w:val="24"/>
        </w:rPr>
      </w:pPr>
      <w:r w:rsidRPr="000C2623">
        <w:rPr>
          <w:sz w:val="24"/>
          <w:szCs w:val="24"/>
        </w:rPr>
        <w:t>QQI is a state agency under the aegis of the Department of Education and Skills. It was established in November 2012 by an amalgamation of four bodies: the Further Education and Training Awards Council, the Higher Education and Training Awards Council, the National Qualifications Authority of Ireland and the Irish Universities Quality Board. QQI has assumed the</w:t>
      </w:r>
      <w:r w:rsidR="00E460CD">
        <w:rPr>
          <w:sz w:val="24"/>
          <w:szCs w:val="24"/>
        </w:rPr>
        <w:t xml:space="preserve"> statutory</w:t>
      </w:r>
      <w:r w:rsidRPr="000C2623">
        <w:rPr>
          <w:sz w:val="24"/>
          <w:szCs w:val="24"/>
        </w:rPr>
        <w:t xml:space="preserve"> functions of those bodies. It has new functions to develop an International Education Mark for providers of education and training</w:t>
      </w:r>
      <w:r w:rsidR="00143856">
        <w:rPr>
          <w:sz w:val="24"/>
          <w:szCs w:val="24"/>
        </w:rPr>
        <w:t xml:space="preserve"> offering</w:t>
      </w:r>
      <w:r w:rsidRPr="000C2623">
        <w:rPr>
          <w:sz w:val="24"/>
          <w:szCs w:val="24"/>
        </w:rPr>
        <w:t xml:space="preserve"> programmes to international students, to establish a database of programme and qualifications</w:t>
      </w:r>
      <w:r w:rsidR="00143856">
        <w:rPr>
          <w:sz w:val="24"/>
          <w:szCs w:val="24"/>
        </w:rPr>
        <w:t xml:space="preserve"> and a register of providers</w:t>
      </w:r>
      <w:r w:rsidRPr="000C2623">
        <w:rPr>
          <w:sz w:val="24"/>
          <w:szCs w:val="24"/>
        </w:rPr>
        <w:t xml:space="preserve">. Through carrying out this work QQI can bring more coherence between qualifications and quality assurance in further and higher education and training, build on the successes of the legacy bodies, and promote public confidence and trust. </w:t>
      </w:r>
    </w:p>
    <w:p w:rsidR="00466B88" w:rsidRPr="000C2623" w:rsidRDefault="00466B88" w:rsidP="000C2623">
      <w:pPr>
        <w:spacing w:line="360" w:lineRule="auto"/>
        <w:rPr>
          <w:sz w:val="24"/>
          <w:szCs w:val="24"/>
        </w:rPr>
      </w:pPr>
      <w:r w:rsidRPr="000C2623">
        <w:rPr>
          <w:sz w:val="24"/>
          <w:szCs w:val="24"/>
        </w:rPr>
        <w:t>QQI has a broad remit across education and training in Ireland. It has a key role in the qualifications system through its custodianship of the National Framework of Qualifications.  Its work concerns learners in diverse settings - schools, adult education, English language schools, vocational training and higher education</w:t>
      </w:r>
      <w:r w:rsidR="00143856">
        <w:rPr>
          <w:sz w:val="24"/>
          <w:szCs w:val="24"/>
        </w:rPr>
        <w:t xml:space="preserve"> and training</w:t>
      </w:r>
      <w:r w:rsidRPr="000C2623">
        <w:rPr>
          <w:sz w:val="24"/>
          <w:szCs w:val="24"/>
        </w:rPr>
        <w:t>; providers of further and higher education and training; Government departments, State agencies and funding bodies; regulatory bodies; professional bodies; qualifications awarding bodies; sectoral and representative bodies and international bodies responsible for quality assurance and qualifications.</w:t>
      </w:r>
    </w:p>
    <w:p w:rsidR="00B80265" w:rsidRDefault="00B80265" w:rsidP="000C2623">
      <w:pPr>
        <w:spacing w:line="360" w:lineRule="auto"/>
        <w:rPr>
          <w:sz w:val="24"/>
          <w:szCs w:val="24"/>
        </w:rPr>
      </w:pPr>
      <w:r w:rsidRPr="000C2623">
        <w:rPr>
          <w:sz w:val="24"/>
          <w:szCs w:val="24"/>
        </w:rPr>
        <w:t>QQI acknowledge</w:t>
      </w:r>
      <w:r w:rsidR="002B6F70">
        <w:rPr>
          <w:sz w:val="24"/>
          <w:szCs w:val="24"/>
        </w:rPr>
        <w:t>s</w:t>
      </w:r>
      <w:r w:rsidRPr="000C2623">
        <w:rPr>
          <w:sz w:val="24"/>
          <w:szCs w:val="24"/>
        </w:rPr>
        <w:t xml:space="preserve"> the valuable contribution to Irish society and economy of international students who choose to come to study, research, live and work in Ireland. The internationalisation of Irish education is enhanced by the integration of international students into </w:t>
      </w:r>
      <w:r w:rsidR="00965A33" w:rsidRPr="000C2623">
        <w:rPr>
          <w:sz w:val="24"/>
          <w:szCs w:val="24"/>
        </w:rPr>
        <w:t xml:space="preserve">all aspects of </w:t>
      </w:r>
      <w:r w:rsidRPr="000C2623">
        <w:rPr>
          <w:sz w:val="24"/>
          <w:szCs w:val="24"/>
        </w:rPr>
        <w:t xml:space="preserve">educational life in Ireland. Domestic students </w:t>
      </w:r>
      <w:r w:rsidR="00965A33" w:rsidRPr="000C2623">
        <w:rPr>
          <w:sz w:val="24"/>
          <w:szCs w:val="24"/>
        </w:rPr>
        <w:t xml:space="preserve">also </w:t>
      </w:r>
      <w:r w:rsidRPr="000C2623">
        <w:rPr>
          <w:sz w:val="24"/>
          <w:szCs w:val="24"/>
        </w:rPr>
        <w:t xml:space="preserve">benefit from participating in education in other countries. </w:t>
      </w:r>
      <w:r w:rsidR="008636F0" w:rsidRPr="000C2623">
        <w:rPr>
          <w:sz w:val="24"/>
          <w:szCs w:val="24"/>
        </w:rPr>
        <w:t>Outbound and inbound student mobility are</w:t>
      </w:r>
      <w:r w:rsidR="008636F0">
        <w:rPr>
          <w:sz w:val="24"/>
          <w:szCs w:val="24"/>
        </w:rPr>
        <w:t xml:space="preserve"> both</w:t>
      </w:r>
      <w:r w:rsidR="008636F0" w:rsidRPr="000C2623">
        <w:rPr>
          <w:sz w:val="24"/>
          <w:szCs w:val="24"/>
        </w:rPr>
        <w:t xml:space="preserve"> important contributors to the internationalisation of Irish education. </w:t>
      </w:r>
    </w:p>
    <w:p w:rsidR="008248E0" w:rsidRDefault="008248E0" w:rsidP="000C2623">
      <w:pPr>
        <w:spacing w:line="360" w:lineRule="auto"/>
        <w:rPr>
          <w:sz w:val="24"/>
          <w:szCs w:val="24"/>
        </w:rPr>
      </w:pPr>
    </w:p>
    <w:p w:rsidR="008248E0" w:rsidRDefault="008248E0" w:rsidP="000C2623">
      <w:pPr>
        <w:spacing w:line="360" w:lineRule="auto"/>
        <w:rPr>
          <w:sz w:val="24"/>
          <w:szCs w:val="24"/>
        </w:rPr>
      </w:pPr>
    </w:p>
    <w:p w:rsidR="008248E0" w:rsidRPr="000C2623" w:rsidRDefault="008248E0" w:rsidP="000C2623">
      <w:pPr>
        <w:spacing w:line="360" w:lineRule="auto"/>
        <w:rPr>
          <w:sz w:val="24"/>
          <w:szCs w:val="24"/>
        </w:rPr>
      </w:pPr>
    </w:p>
    <w:p w:rsidR="00156D14" w:rsidRPr="000C2623" w:rsidRDefault="008E0133" w:rsidP="000C2623">
      <w:pPr>
        <w:spacing w:line="360" w:lineRule="auto"/>
        <w:rPr>
          <w:sz w:val="24"/>
          <w:szCs w:val="24"/>
        </w:rPr>
      </w:pPr>
      <w:r w:rsidRPr="000C2623">
        <w:rPr>
          <w:sz w:val="24"/>
          <w:szCs w:val="24"/>
        </w:rPr>
        <w:lastRenderedPageBreak/>
        <w:t>This submission will focus primarily on Issue 4</w:t>
      </w:r>
      <w:r w:rsidR="00A92687" w:rsidRPr="000C2623">
        <w:rPr>
          <w:sz w:val="24"/>
          <w:szCs w:val="24"/>
        </w:rPr>
        <w:t xml:space="preserve"> in the consultation paper</w:t>
      </w:r>
      <w:r w:rsidRPr="000C2623">
        <w:rPr>
          <w:i/>
          <w:sz w:val="24"/>
          <w:szCs w:val="24"/>
        </w:rPr>
        <w:t>: Strengthening Ireland’s reputation for quality</w:t>
      </w:r>
      <w:r w:rsidR="00324735">
        <w:rPr>
          <w:sz w:val="24"/>
          <w:szCs w:val="24"/>
        </w:rPr>
        <w:t>. The content of this</w:t>
      </w:r>
      <w:r w:rsidR="00141AA8">
        <w:rPr>
          <w:sz w:val="24"/>
          <w:szCs w:val="24"/>
        </w:rPr>
        <w:t xml:space="preserve"> submission is organised under</w:t>
      </w:r>
      <w:r w:rsidRPr="000C2623">
        <w:rPr>
          <w:sz w:val="24"/>
          <w:szCs w:val="24"/>
        </w:rPr>
        <w:t xml:space="preserve"> </w:t>
      </w:r>
      <w:r w:rsidR="00156D14" w:rsidRPr="000C2623">
        <w:rPr>
          <w:sz w:val="24"/>
          <w:szCs w:val="24"/>
        </w:rPr>
        <w:t xml:space="preserve">three </w:t>
      </w:r>
      <w:r w:rsidRPr="000C2623">
        <w:rPr>
          <w:sz w:val="24"/>
          <w:szCs w:val="24"/>
        </w:rPr>
        <w:t>themes</w:t>
      </w:r>
      <w:r w:rsidR="000C2623" w:rsidRPr="000C2623">
        <w:rPr>
          <w:sz w:val="24"/>
          <w:szCs w:val="24"/>
        </w:rPr>
        <w:t>:</w:t>
      </w:r>
      <w:r w:rsidR="00156D14" w:rsidRPr="000C2623">
        <w:rPr>
          <w:sz w:val="24"/>
          <w:szCs w:val="24"/>
        </w:rPr>
        <w:t xml:space="preserve"> </w:t>
      </w:r>
    </w:p>
    <w:p w:rsidR="00156D14" w:rsidRPr="000C2623" w:rsidRDefault="00141AA8" w:rsidP="000C2623">
      <w:pPr>
        <w:pStyle w:val="ListParagraph"/>
        <w:numPr>
          <w:ilvl w:val="0"/>
          <w:numId w:val="7"/>
        </w:numPr>
        <w:spacing w:line="360" w:lineRule="auto"/>
        <w:rPr>
          <w:sz w:val="24"/>
          <w:szCs w:val="24"/>
        </w:rPr>
      </w:pPr>
      <w:r>
        <w:rPr>
          <w:sz w:val="24"/>
          <w:szCs w:val="24"/>
        </w:rPr>
        <w:t>Regulatory F</w:t>
      </w:r>
      <w:r w:rsidR="00156D14" w:rsidRPr="000C2623">
        <w:rPr>
          <w:sz w:val="24"/>
          <w:szCs w:val="24"/>
        </w:rPr>
        <w:t>ramework</w:t>
      </w:r>
    </w:p>
    <w:p w:rsidR="00156D14" w:rsidRPr="000C2623" w:rsidRDefault="00141AA8" w:rsidP="000C2623">
      <w:pPr>
        <w:pStyle w:val="ListParagraph"/>
        <w:numPr>
          <w:ilvl w:val="0"/>
          <w:numId w:val="7"/>
        </w:numPr>
        <w:spacing w:line="360" w:lineRule="auto"/>
        <w:rPr>
          <w:sz w:val="24"/>
          <w:szCs w:val="24"/>
        </w:rPr>
      </w:pPr>
      <w:r>
        <w:rPr>
          <w:sz w:val="24"/>
          <w:szCs w:val="24"/>
        </w:rPr>
        <w:t>Interpretations, Data and R</w:t>
      </w:r>
      <w:r w:rsidR="00156D14" w:rsidRPr="000C2623">
        <w:rPr>
          <w:sz w:val="24"/>
          <w:szCs w:val="24"/>
        </w:rPr>
        <w:t xml:space="preserve">esearch </w:t>
      </w:r>
    </w:p>
    <w:p w:rsidR="008E0133" w:rsidRPr="000C2623" w:rsidRDefault="00141AA8" w:rsidP="000C2623">
      <w:pPr>
        <w:pStyle w:val="ListParagraph"/>
        <w:numPr>
          <w:ilvl w:val="0"/>
          <w:numId w:val="7"/>
        </w:numPr>
        <w:spacing w:line="360" w:lineRule="auto"/>
        <w:rPr>
          <w:sz w:val="24"/>
          <w:szCs w:val="24"/>
        </w:rPr>
      </w:pPr>
      <w:r>
        <w:rPr>
          <w:sz w:val="24"/>
          <w:szCs w:val="24"/>
        </w:rPr>
        <w:t>Networks and P</w:t>
      </w:r>
      <w:r w:rsidR="00156D14" w:rsidRPr="000C2623">
        <w:rPr>
          <w:sz w:val="24"/>
          <w:szCs w:val="24"/>
        </w:rPr>
        <w:t xml:space="preserve">artnerships </w:t>
      </w:r>
    </w:p>
    <w:p w:rsidR="007F673B" w:rsidRPr="000C2623" w:rsidRDefault="007F673B" w:rsidP="000C2623">
      <w:pPr>
        <w:spacing w:line="360" w:lineRule="auto"/>
        <w:rPr>
          <w:sz w:val="24"/>
          <w:szCs w:val="24"/>
        </w:rPr>
      </w:pPr>
    </w:p>
    <w:p w:rsidR="000F6FF0" w:rsidRPr="00022CB8" w:rsidRDefault="008E0133" w:rsidP="000C2623">
      <w:pPr>
        <w:pStyle w:val="ListParagraph"/>
        <w:numPr>
          <w:ilvl w:val="0"/>
          <w:numId w:val="8"/>
        </w:numPr>
        <w:spacing w:line="360" w:lineRule="auto"/>
        <w:rPr>
          <w:b/>
          <w:color w:val="365F91" w:themeColor="accent1" w:themeShade="BF"/>
          <w:sz w:val="32"/>
          <w:szCs w:val="32"/>
        </w:rPr>
      </w:pPr>
      <w:r w:rsidRPr="00022CB8">
        <w:rPr>
          <w:b/>
          <w:color w:val="365F91" w:themeColor="accent1" w:themeShade="BF"/>
          <w:sz w:val="32"/>
          <w:szCs w:val="32"/>
        </w:rPr>
        <w:t>Regulatory Framework</w:t>
      </w:r>
    </w:p>
    <w:p w:rsidR="009E7268" w:rsidRPr="000C2623" w:rsidRDefault="009E7268" w:rsidP="000C2623">
      <w:pPr>
        <w:autoSpaceDE w:val="0"/>
        <w:autoSpaceDN w:val="0"/>
        <w:adjustRightInd w:val="0"/>
        <w:spacing w:after="0" w:line="360" w:lineRule="auto"/>
        <w:rPr>
          <w:sz w:val="24"/>
          <w:szCs w:val="24"/>
        </w:rPr>
      </w:pPr>
    </w:p>
    <w:p w:rsidR="009E7268" w:rsidRPr="000C2623" w:rsidRDefault="009E7268" w:rsidP="000C2623">
      <w:pPr>
        <w:autoSpaceDE w:val="0"/>
        <w:autoSpaceDN w:val="0"/>
        <w:adjustRightInd w:val="0"/>
        <w:spacing w:after="0" w:line="360" w:lineRule="auto"/>
        <w:rPr>
          <w:sz w:val="24"/>
          <w:szCs w:val="24"/>
        </w:rPr>
      </w:pPr>
      <w:r w:rsidRPr="000C2623">
        <w:rPr>
          <w:sz w:val="24"/>
          <w:szCs w:val="24"/>
        </w:rPr>
        <w:t xml:space="preserve">International evidence suggests that the sustainability in international student </w:t>
      </w:r>
      <w:r w:rsidR="008636F0" w:rsidRPr="000C2623">
        <w:rPr>
          <w:sz w:val="24"/>
          <w:szCs w:val="24"/>
        </w:rPr>
        <w:t>enrolments</w:t>
      </w:r>
      <w:r w:rsidRPr="000C2623">
        <w:rPr>
          <w:sz w:val="24"/>
          <w:szCs w:val="24"/>
        </w:rPr>
        <w:t xml:space="preserve"> is dependent on institutions and th</w:t>
      </w:r>
      <w:r w:rsidR="000C2623" w:rsidRPr="000C2623">
        <w:rPr>
          <w:sz w:val="24"/>
          <w:szCs w:val="24"/>
        </w:rPr>
        <w:t>ei</w:t>
      </w:r>
      <w:r w:rsidRPr="000C2623">
        <w:rPr>
          <w:sz w:val="24"/>
          <w:szCs w:val="24"/>
        </w:rPr>
        <w:t>r communities having sufficient infrastructure and support services to meet the demands of significant numbers of international and domestic students</w:t>
      </w:r>
      <w:r w:rsidRPr="000C2623">
        <w:rPr>
          <w:rStyle w:val="FootnoteReference"/>
          <w:sz w:val="24"/>
          <w:szCs w:val="24"/>
        </w:rPr>
        <w:footnoteReference w:id="1"/>
      </w:r>
      <w:r w:rsidRPr="000C2623">
        <w:rPr>
          <w:sz w:val="24"/>
          <w:szCs w:val="24"/>
        </w:rPr>
        <w:t>.</w:t>
      </w:r>
    </w:p>
    <w:p w:rsidR="00B43042" w:rsidRPr="000C2623" w:rsidRDefault="00B43042" w:rsidP="000C2623">
      <w:pPr>
        <w:autoSpaceDE w:val="0"/>
        <w:autoSpaceDN w:val="0"/>
        <w:adjustRightInd w:val="0"/>
        <w:spacing w:after="0" w:line="360" w:lineRule="auto"/>
        <w:rPr>
          <w:sz w:val="24"/>
          <w:szCs w:val="24"/>
        </w:rPr>
      </w:pPr>
    </w:p>
    <w:p w:rsidR="00B43042" w:rsidRPr="000C2623" w:rsidRDefault="00B43042" w:rsidP="000C2623">
      <w:pPr>
        <w:autoSpaceDE w:val="0"/>
        <w:autoSpaceDN w:val="0"/>
        <w:adjustRightInd w:val="0"/>
        <w:spacing w:after="0" w:line="360" w:lineRule="auto"/>
        <w:rPr>
          <w:rFonts w:cs="Helvetica-Light"/>
          <w:sz w:val="24"/>
          <w:szCs w:val="24"/>
        </w:rPr>
      </w:pPr>
      <w:r w:rsidRPr="000C2623">
        <w:rPr>
          <w:sz w:val="24"/>
          <w:szCs w:val="24"/>
        </w:rPr>
        <w:t>Investing in Global Relationships: Irelands International Education Strategy 2010-2015</w:t>
      </w:r>
      <w:r w:rsidRPr="000C2623">
        <w:rPr>
          <w:rStyle w:val="FootnoteReference"/>
          <w:sz w:val="24"/>
          <w:szCs w:val="24"/>
        </w:rPr>
        <w:footnoteReference w:id="2"/>
      </w:r>
      <w:r w:rsidRPr="000C2623">
        <w:rPr>
          <w:sz w:val="24"/>
          <w:szCs w:val="24"/>
        </w:rPr>
        <w:t xml:space="preserve"> positions quality at the heart of Ireland’s </w:t>
      </w:r>
      <w:r w:rsidR="000C2623" w:rsidRPr="000C2623">
        <w:rPr>
          <w:sz w:val="24"/>
          <w:szCs w:val="24"/>
        </w:rPr>
        <w:t>international education offer</w:t>
      </w:r>
      <w:r w:rsidRPr="000C2623">
        <w:rPr>
          <w:sz w:val="24"/>
          <w:szCs w:val="24"/>
        </w:rPr>
        <w:t>:</w:t>
      </w:r>
    </w:p>
    <w:p w:rsidR="00B43042" w:rsidRPr="000C2623" w:rsidRDefault="00B43042" w:rsidP="000C2623">
      <w:pPr>
        <w:autoSpaceDE w:val="0"/>
        <w:autoSpaceDN w:val="0"/>
        <w:adjustRightInd w:val="0"/>
        <w:spacing w:after="0" w:line="360" w:lineRule="auto"/>
        <w:rPr>
          <w:sz w:val="24"/>
          <w:szCs w:val="24"/>
        </w:rPr>
      </w:pPr>
    </w:p>
    <w:p w:rsidR="008E0133" w:rsidRPr="000C2623" w:rsidRDefault="000C2623" w:rsidP="000C2623">
      <w:pPr>
        <w:autoSpaceDE w:val="0"/>
        <w:autoSpaceDN w:val="0"/>
        <w:adjustRightInd w:val="0"/>
        <w:spacing w:after="0" w:line="360" w:lineRule="auto"/>
        <w:rPr>
          <w:rFonts w:cs="Helvetica-Light"/>
          <w:sz w:val="24"/>
          <w:szCs w:val="24"/>
        </w:rPr>
      </w:pPr>
      <w:r w:rsidRPr="000C2623">
        <w:rPr>
          <w:rFonts w:cs="Helvetica-Light"/>
          <w:i/>
          <w:sz w:val="24"/>
          <w:szCs w:val="24"/>
        </w:rPr>
        <w:t>‘</w:t>
      </w:r>
      <w:r w:rsidR="00B43042" w:rsidRPr="000C2623">
        <w:rPr>
          <w:rFonts w:cs="Helvetica-Light"/>
          <w:sz w:val="24"/>
          <w:szCs w:val="24"/>
        </w:rPr>
        <w:t>Ireland has an international reputation for academic quality and for strong quality assurance</w:t>
      </w:r>
      <w:r>
        <w:rPr>
          <w:rFonts w:cs="Helvetica-Light"/>
          <w:sz w:val="24"/>
          <w:szCs w:val="24"/>
        </w:rPr>
        <w:t xml:space="preserve"> </w:t>
      </w:r>
      <w:r w:rsidR="00B43042" w:rsidRPr="000C2623">
        <w:rPr>
          <w:rFonts w:cs="Helvetica-Light"/>
          <w:sz w:val="24"/>
          <w:szCs w:val="24"/>
        </w:rPr>
        <w:t>procedures. This provides an extremely strong basis for the promotion of high-quality international education. However, prospective students also require reassurance about the overall international student experience available in institutions</w:t>
      </w:r>
      <w:r w:rsidRPr="000C2623">
        <w:rPr>
          <w:rFonts w:cs="Helvetica-Light"/>
          <w:sz w:val="24"/>
          <w:szCs w:val="24"/>
        </w:rPr>
        <w:t>.’</w:t>
      </w:r>
    </w:p>
    <w:p w:rsidR="00B43042" w:rsidRPr="000C2623" w:rsidRDefault="00B43042" w:rsidP="000C2623">
      <w:pPr>
        <w:autoSpaceDE w:val="0"/>
        <w:autoSpaceDN w:val="0"/>
        <w:adjustRightInd w:val="0"/>
        <w:spacing w:after="0" w:line="360" w:lineRule="auto"/>
        <w:rPr>
          <w:rFonts w:cs="Helvetica-Light"/>
          <w:sz w:val="24"/>
          <w:szCs w:val="24"/>
        </w:rPr>
      </w:pPr>
    </w:p>
    <w:p w:rsidR="00B43042" w:rsidRPr="000C2623" w:rsidRDefault="00143856" w:rsidP="000C2623">
      <w:pPr>
        <w:autoSpaceDE w:val="0"/>
        <w:autoSpaceDN w:val="0"/>
        <w:adjustRightInd w:val="0"/>
        <w:spacing w:after="0" w:line="360" w:lineRule="auto"/>
        <w:rPr>
          <w:rFonts w:cs="Helvetica-Light"/>
          <w:sz w:val="24"/>
          <w:szCs w:val="24"/>
        </w:rPr>
      </w:pPr>
      <w:r>
        <w:rPr>
          <w:rFonts w:cs="Helvetica-Light"/>
          <w:sz w:val="24"/>
          <w:szCs w:val="24"/>
        </w:rPr>
        <w:t>The q</w:t>
      </w:r>
      <w:r w:rsidR="00B43042" w:rsidRPr="000C2623">
        <w:rPr>
          <w:rFonts w:cs="Helvetica-Light"/>
          <w:sz w:val="24"/>
          <w:szCs w:val="24"/>
        </w:rPr>
        <w:t>uality of the educational experience for all students, domestic and international,</w:t>
      </w:r>
      <w:r w:rsidR="00513400" w:rsidRPr="000C2623">
        <w:rPr>
          <w:rFonts w:cs="Helvetica-Light"/>
          <w:sz w:val="24"/>
          <w:szCs w:val="24"/>
        </w:rPr>
        <w:t xml:space="preserve"> results from confidence in the academic rigour of programmes and qualifica</w:t>
      </w:r>
      <w:r w:rsidR="008E1AA2">
        <w:rPr>
          <w:rFonts w:cs="Helvetica-Light"/>
          <w:sz w:val="24"/>
          <w:szCs w:val="24"/>
        </w:rPr>
        <w:t xml:space="preserve">tions and </w:t>
      </w:r>
      <w:r w:rsidR="008E1AA2">
        <w:rPr>
          <w:rFonts w:cs="Helvetica-Light"/>
          <w:sz w:val="24"/>
          <w:szCs w:val="24"/>
        </w:rPr>
        <w:lastRenderedPageBreak/>
        <w:t>positive experience by</w:t>
      </w:r>
      <w:r w:rsidR="00513400" w:rsidRPr="000C2623">
        <w:rPr>
          <w:rFonts w:cs="Helvetica-Light"/>
          <w:sz w:val="24"/>
          <w:szCs w:val="24"/>
        </w:rPr>
        <w:t xml:space="preserve"> student</w:t>
      </w:r>
      <w:r w:rsidR="00E67E38">
        <w:rPr>
          <w:rFonts w:cs="Helvetica-Light"/>
          <w:sz w:val="24"/>
          <w:szCs w:val="24"/>
        </w:rPr>
        <w:t>s</w:t>
      </w:r>
      <w:r w:rsidR="00513400" w:rsidRPr="000C2623">
        <w:rPr>
          <w:rFonts w:cs="Helvetica-Light"/>
          <w:sz w:val="24"/>
          <w:szCs w:val="24"/>
        </w:rPr>
        <w:t xml:space="preserve"> </w:t>
      </w:r>
      <w:r w:rsidR="008E1AA2">
        <w:rPr>
          <w:rFonts w:cs="Helvetica-Light"/>
          <w:sz w:val="24"/>
          <w:szCs w:val="24"/>
        </w:rPr>
        <w:t xml:space="preserve">of various </w:t>
      </w:r>
      <w:r w:rsidR="00513400" w:rsidRPr="000C2623">
        <w:rPr>
          <w:rFonts w:cs="Helvetica-Light"/>
          <w:sz w:val="24"/>
          <w:szCs w:val="24"/>
        </w:rPr>
        <w:t>supports</w:t>
      </w:r>
      <w:r w:rsidR="00971DD8" w:rsidRPr="000C2623">
        <w:rPr>
          <w:rFonts w:cs="Helvetica-Light"/>
          <w:sz w:val="24"/>
          <w:szCs w:val="24"/>
        </w:rPr>
        <w:t xml:space="preserve"> and service</w:t>
      </w:r>
      <w:r w:rsidR="00513400" w:rsidRPr="000C2623">
        <w:rPr>
          <w:rFonts w:cs="Helvetica-Light"/>
          <w:sz w:val="24"/>
          <w:szCs w:val="24"/>
        </w:rPr>
        <w:t>, before, during and after</w:t>
      </w:r>
      <w:r w:rsidR="00971DD8" w:rsidRPr="000C2623">
        <w:rPr>
          <w:rFonts w:cs="Helvetica-Light"/>
          <w:sz w:val="24"/>
          <w:szCs w:val="24"/>
        </w:rPr>
        <w:t xml:space="preserve"> investing in</w:t>
      </w:r>
      <w:r w:rsidR="00513400" w:rsidRPr="000C2623">
        <w:rPr>
          <w:rFonts w:cs="Helvetica-Light"/>
          <w:sz w:val="24"/>
          <w:szCs w:val="24"/>
        </w:rPr>
        <w:t xml:space="preserve"> period of education.  </w:t>
      </w:r>
    </w:p>
    <w:p w:rsidR="00F7007C" w:rsidRPr="000C2623" w:rsidRDefault="00F7007C" w:rsidP="000C2623">
      <w:pPr>
        <w:autoSpaceDE w:val="0"/>
        <w:autoSpaceDN w:val="0"/>
        <w:adjustRightInd w:val="0"/>
        <w:spacing w:after="0" w:line="360" w:lineRule="auto"/>
        <w:rPr>
          <w:rFonts w:cs="Helvetica-Light"/>
          <w:sz w:val="24"/>
          <w:szCs w:val="24"/>
        </w:rPr>
      </w:pPr>
    </w:p>
    <w:p w:rsidR="00925277" w:rsidRPr="000C2623" w:rsidRDefault="003E396B" w:rsidP="000C2623">
      <w:pPr>
        <w:spacing w:line="360" w:lineRule="auto"/>
        <w:rPr>
          <w:sz w:val="24"/>
          <w:szCs w:val="24"/>
        </w:rPr>
      </w:pPr>
      <w:r w:rsidRPr="000C2623">
        <w:rPr>
          <w:rFonts w:cs="Helvetica-Light"/>
          <w:sz w:val="24"/>
          <w:szCs w:val="24"/>
        </w:rPr>
        <w:t xml:space="preserve">QQI works with stakeholders to </w:t>
      </w:r>
      <w:r w:rsidRPr="000C2623">
        <w:rPr>
          <w:sz w:val="24"/>
          <w:szCs w:val="24"/>
        </w:rPr>
        <w:t>promote the enhancement of quality in Ireland’s further, higher and English language education and training</w:t>
      </w:r>
      <w:r w:rsidR="00143856">
        <w:rPr>
          <w:sz w:val="24"/>
          <w:szCs w:val="24"/>
        </w:rPr>
        <w:t>,</w:t>
      </w:r>
      <w:r w:rsidRPr="000C2623">
        <w:rPr>
          <w:sz w:val="24"/>
          <w:szCs w:val="24"/>
        </w:rPr>
        <w:t xml:space="preserve"> and quality assures providers. QQI supports and promotes a qualifications system that benefits learners and other stakeholders. Education and traini</w:t>
      </w:r>
      <w:r w:rsidR="008E1AA2">
        <w:rPr>
          <w:sz w:val="24"/>
          <w:szCs w:val="24"/>
        </w:rPr>
        <w:t>ng providers are the primary source of innovation</w:t>
      </w:r>
      <w:r w:rsidRPr="000C2623">
        <w:rPr>
          <w:sz w:val="24"/>
          <w:szCs w:val="24"/>
        </w:rPr>
        <w:t xml:space="preserve"> in </w:t>
      </w:r>
      <w:r w:rsidR="008E1AA2">
        <w:rPr>
          <w:sz w:val="24"/>
          <w:szCs w:val="24"/>
        </w:rPr>
        <w:t xml:space="preserve">terms of </w:t>
      </w:r>
      <w:r w:rsidRPr="000C2623">
        <w:rPr>
          <w:sz w:val="24"/>
          <w:szCs w:val="24"/>
        </w:rPr>
        <w:t>developing value added education</w:t>
      </w:r>
      <w:r w:rsidR="00CE31F3" w:rsidRPr="000C2623">
        <w:rPr>
          <w:sz w:val="24"/>
          <w:szCs w:val="24"/>
        </w:rPr>
        <w:t xml:space="preserve">, </w:t>
      </w:r>
      <w:r w:rsidRPr="000C2623">
        <w:rPr>
          <w:sz w:val="24"/>
          <w:szCs w:val="24"/>
        </w:rPr>
        <w:t>training</w:t>
      </w:r>
      <w:r w:rsidR="008E1AA2">
        <w:rPr>
          <w:sz w:val="24"/>
          <w:szCs w:val="24"/>
        </w:rPr>
        <w:t xml:space="preserve"> and research propositions</w:t>
      </w:r>
      <w:r w:rsidR="00CE31F3" w:rsidRPr="000C2623">
        <w:rPr>
          <w:sz w:val="24"/>
          <w:szCs w:val="24"/>
        </w:rPr>
        <w:t xml:space="preserve"> for</w:t>
      </w:r>
      <w:r w:rsidRPr="000C2623">
        <w:rPr>
          <w:sz w:val="24"/>
          <w:szCs w:val="24"/>
        </w:rPr>
        <w:t xml:space="preserve"> learners. </w:t>
      </w:r>
      <w:r w:rsidR="009F6C81" w:rsidRPr="000C2623">
        <w:rPr>
          <w:sz w:val="24"/>
          <w:szCs w:val="24"/>
        </w:rPr>
        <w:t xml:space="preserve">QQI </w:t>
      </w:r>
      <w:r w:rsidR="008E1AA2">
        <w:rPr>
          <w:sz w:val="24"/>
          <w:szCs w:val="24"/>
        </w:rPr>
        <w:t>aims to support</w:t>
      </w:r>
      <w:r w:rsidR="00CE31F3" w:rsidRPr="000C2623">
        <w:rPr>
          <w:sz w:val="24"/>
          <w:szCs w:val="24"/>
        </w:rPr>
        <w:t xml:space="preserve"> provider led educational innovation that is in the interests of learners at home and abroad. </w:t>
      </w:r>
      <w:r w:rsidR="008E1AA2">
        <w:rPr>
          <w:sz w:val="24"/>
          <w:szCs w:val="24"/>
        </w:rPr>
        <w:t>This is consistent</w:t>
      </w:r>
      <w:r w:rsidR="00EC781B" w:rsidRPr="000C2623">
        <w:rPr>
          <w:sz w:val="24"/>
          <w:szCs w:val="24"/>
        </w:rPr>
        <w:t xml:space="preserve"> with the principle that providers have primary responsibility for quality. </w:t>
      </w:r>
      <w:r w:rsidR="00A47EE4">
        <w:rPr>
          <w:sz w:val="24"/>
          <w:szCs w:val="24"/>
        </w:rPr>
        <w:t xml:space="preserve">Within its statutory remit, </w:t>
      </w:r>
      <w:r w:rsidR="00CE31F3" w:rsidRPr="000C2623">
        <w:rPr>
          <w:sz w:val="24"/>
          <w:szCs w:val="24"/>
        </w:rPr>
        <w:t xml:space="preserve">QQI will take </w:t>
      </w:r>
      <w:r w:rsidR="00A47EE4">
        <w:rPr>
          <w:sz w:val="24"/>
          <w:szCs w:val="24"/>
        </w:rPr>
        <w:t xml:space="preserve">the </w:t>
      </w:r>
      <w:r w:rsidR="00CE31F3" w:rsidRPr="000C2623">
        <w:rPr>
          <w:sz w:val="24"/>
          <w:szCs w:val="24"/>
        </w:rPr>
        <w:t xml:space="preserve">necessary and appropriate action in cases where a provider’s actions present a potential </w:t>
      </w:r>
      <w:r w:rsidR="009A546E">
        <w:rPr>
          <w:sz w:val="24"/>
          <w:szCs w:val="24"/>
        </w:rPr>
        <w:t xml:space="preserve">risk to the quality of a learner’s </w:t>
      </w:r>
      <w:r w:rsidR="00CE31F3" w:rsidRPr="000C2623">
        <w:rPr>
          <w:sz w:val="24"/>
          <w:szCs w:val="24"/>
        </w:rPr>
        <w:t xml:space="preserve">experience or to the reputation of Irish education, training or research. </w:t>
      </w:r>
    </w:p>
    <w:p w:rsidR="00A92687" w:rsidRPr="000C2623" w:rsidRDefault="00A92687" w:rsidP="000C2623">
      <w:pPr>
        <w:spacing w:line="360" w:lineRule="auto"/>
        <w:rPr>
          <w:sz w:val="24"/>
          <w:szCs w:val="24"/>
        </w:rPr>
      </w:pPr>
      <w:r w:rsidRPr="000C2623">
        <w:rPr>
          <w:sz w:val="24"/>
          <w:szCs w:val="24"/>
        </w:rPr>
        <w:t xml:space="preserve">QQI has strengthened </w:t>
      </w:r>
      <w:r w:rsidR="00D97163" w:rsidRPr="000C2623">
        <w:rPr>
          <w:sz w:val="24"/>
          <w:szCs w:val="24"/>
        </w:rPr>
        <w:t xml:space="preserve">the accreditation process for new providers seeking access to </w:t>
      </w:r>
      <w:r w:rsidR="00143856">
        <w:rPr>
          <w:sz w:val="24"/>
          <w:szCs w:val="24"/>
        </w:rPr>
        <w:t xml:space="preserve">initial </w:t>
      </w:r>
      <w:r w:rsidR="00D97163" w:rsidRPr="000C2623">
        <w:rPr>
          <w:sz w:val="24"/>
          <w:szCs w:val="24"/>
        </w:rPr>
        <w:t xml:space="preserve">programme validation and for providers seeking recognition from ACELS for English Language Teaching (ELT). </w:t>
      </w:r>
      <w:r w:rsidR="00DB5684" w:rsidRPr="000C2623">
        <w:rPr>
          <w:sz w:val="24"/>
          <w:szCs w:val="24"/>
        </w:rPr>
        <w:t>Providers n</w:t>
      </w:r>
      <w:r w:rsidR="00211EED">
        <w:rPr>
          <w:sz w:val="24"/>
          <w:szCs w:val="24"/>
        </w:rPr>
        <w:t>eed to demonstrate that they have the capacity to</w:t>
      </w:r>
      <w:r w:rsidR="00DB5684" w:rsidRPr="000C2623">
        <w:rPr>
          <w:sz w:val="24"/>
          <w:szCs w:val="24"/>
        </w:rPr>
        <w:t xml:space="preserve"> </w:t>
      </w:r>
      <w:r w:rsidR="00211EED">
        <w:rPr>
          <w:sz w:val="24"/>
          <w:szCs w:val="24"/>
        </w:rPr>
        <w:t xml:space="preserve">sustain the </w:t>
      </w:r>
      <w:r w:rsidR="00DB5684" w:rsidRPr="000C2623">
        <w:rPr>
          <w:sz w:val="24"/>
          <w:szCs w:val="24"/>
        </w:rPr>
        <w:t>deliver</w:t>
      </w:r>
      <w:r w:rsidR="00211EED">
        <w:rPr>
          <w:sz w:val="24"/>
          <w:szCs w:val="24"/>
        </w:rPr>
        <w:t xml:space="preserve">y of quality </w:t>
      </w:r>
      <w:r w:rsidR="00DB5684" w:rsidRPr="000C2623">
        <w:rPr>
          <w:sz w:val="24"/>
          <w:szCs w:val="24"/>
        </w:rPr>
        <w:t xml:space="preserve">education and training to all students. </w:t>
      </w:r>
      <w:r w:rsidR="00D97163" w:rsidRPr="000C2623">
        <w:rPr>
          <w:sz w:val="24"/>
          <w:szCs w:val="24"/>
        </w:rPr>
        <w:t xml:space="preserve">Strengthened accreditation is part of the development </w:t>
      </w:r>
      <w:r w:rsidR="00DB5684" w:rsidRPr="000C2623">
        <w:rPr>
          <w:sz w:val="24"/>
          <w:szCs w:val="24"/>
        </w:rPr>
        <w:t xml:space="preserve">by QQI </w:t>
      </w:r>
      <w:r w:rsidR="00D97163" w:rsidRPr="000C2623">
        <w:rPr>
          <w:sz w:val="24"/>
          <w:szCs w:val="24"/>
        </w:rPr>
        <w:t xml:space="preserve">of an overall quality assurance framework </w:t>
      </w:r>
      <w:r w:rsidR="00DB5684" w:rsidRPr="000C2623">
        <w:rPr>
          <w:sz w:val="24"/>
          <w:szCs w:val="24"/>
        </w:rPr>
        <w:t>aimed at promoting and enhan</w:t>
      </w:r>
      <w:r w:rsidR="00211EED">
        <w:rPr>
          <w:sz w:val="24"/>
          <w:szCs w:val="24"/>
        </w:rPr>
        <w:t xml:space="preserve">cing the quality of </w:t>
      </w:r>
      <w:r w:rsidR="00DB5684" w:rsidRPr="000C2623">
        <w:rPr>
          <w:sz w:val="24"/>
          <w:szCs w:val="24"/>
        </w:rPr>
        <w:t xml:space="preserve">further, higher and English language education and training. </w:t>
      </w:r>
    </w:p>
    <w:p w:rsidR="00DB5684" w:rsidRPr="00022CB8" w:rsidRDefault="00DB5684" w:rsidP="000C2623">
      <w:pPr>
        <w:spacing w:line="360" w:lineRule="auto"/>
        <w:rPr>
          <w:i/>
          <w:color w:val="365F91" w:themeColor="accent1" w:themeShade="BF"/>
          <w:sz w:val="24"/>
          <w:szCs w:val="24"/>
        </w:rPr>
      </w:pPr>
      <w:r w:rsidRPr="00022CB8">
        <w:rPr>
          <w:i/>
          <w:color w:val="365F91" w:themeColor="accent1" w:themeShade="BF"/>
          <w:sz w:val="24"/>
          <w:szCs w:val="24"/>
        </w:rPr>
        <w:t>International Education Mark</w:t>
      </w:r>
    </w:p>
    <w:p w:rsidR="00DB5684" w:rsidRPr="000C2623" w:rsidRDefault="00DB5684" w:rsidP="000C2623">
      <w:pPr>
        <w:spacing w:line="360" w:lineRule="auto"/>
        <w:rPr>
          <w:sz w:val="24"/>
          <w:szCs w:val="24"/>
        </w:rPr>
      </w:pPr>
      <w:r w:rsidRPr="000C2623">
        <w:rPr>
          <w:sz w:val="24"/>
          <w:szCs w:val="24"/>
        </w:rPr>
        <w:t xml:space="preserve">QQI will establish a code of practice for the provision of programmes of education and training to international learners and will authorise the use of an International Education Mark (IEM) by quality assured providers that demonstrate </w:t>
      </w:r>
      <w:r w:rsidR="00403DAB" w:rsidRPr="000C2623">
        <w:rPr>
          <w:sz w:val="24"/>
          <w:szCs w:val="24"/>
        </w:rPr>
        <w:t xml:space="preserve">their </w:t>
      </w:r>
      <w:r w:rsidR="00211EED">
        <w:rPr>
          <w:sz w:val="24"/>
          <w:szCs w:val="24"/>
        </w:rPr>
        <w:t xml:space="preserve">compliance with a statutory </w:t>
      </w:r>
      <w:r w:rsidRPr="000C2623">
        <w:rPr>
          <w:sz w:val="24"/>
          <w:szCs w:val="24"/>
        </w:rPr>
        <w:t>code of practice</w:t>
      </w:r>
      <w:r w:rsidR="00211EED">
        <w:rPr>
          <w:sz w:val="24"/>
          <w:szCs w:val="24"/>
        </w:rPr>
        <w:t xml:space="preserve"> for the provision of prog</w:t>
      </w:r>
      <w:r w:rsidR="009A546E">
        <w:rPr>
          <w:sz w:val="24"/>
          <w:szCs w:val="24"/>
        </w:rPr>
        <w:t>rammes to international students</w:t>
      </w:r>
      <w:r w:rsidRPr="000C2623">
        <w:rPr>
          <w:sz w:val="24"/>
          <w:szCs w:val="24"/>
        </w:rPr>
        <w:t xml:space="preserve">. The IEM forms part of the quality framework that will assist in the promotion of Ireland as a destination for </w:t>
      </w:r>
      <w:r w:rsidR="00523ABD">
        <w:rPr>
          <w:sz w:val="24"/>
          <w:szCs w:val="24"/>
        </w:rPr>
        <w:t xml:space="preserve">high quality </w:t>
      </w:r>
      <w:r w:rsidRPr="000C2623">
        <w:rPr>
          <w:sz w:val="24"/>
          <w:szCs w:val="24"/>
        </w:rPr>
        <w:t xml:space="preserve">international students. </w:t>
      </w:r>
      <w:r w:rsidR="00403DAB" w:rsidRPr="000C2623">
        <w:rPr>
          <w:sz w:val="24"/>
          <w:szCs w:val="24"/>
        </w:rPr>
        <w:t xml:space="preserve">As a brand, the IEM will signal </w:t>
      </w:r>
      <w:r w:rsidR="00283CFB">
        <w:rPr>
          <w:sz w:val="24"/>
          <w:szCs w:val="24"/>
        </w:rPr>
        <w:t xml:space="preserve">public </w:t>
      </w:r>
      <w:r w:rsidR="00403DAB" w:rsidRPr="000C2623">
        <w:rPr>
          <w:sz w:val="24"/>
          <w:szCs w:val="24"/>
        </w:rPr>
        <w:t xml:space="preserve">confidence in the quality of education and training services to international students. </w:t>
      </w:r>
    </w:p>
    <w:p w:rsidR="008248E0" w:rsidRDefault="008248E0" w:rsidP="000C2623">
      <w:pPr>
        <w:spacing w:line="360" w:lineRule="auto"/>
        <w:rPr>
          <w:i/>
          <w:color w:val="365F91" w:themeColor="accent1" w:themeShade="BF"/>
          <w:sz w:val="24"/>
          <w:szCs w:val="24"/>
        </w:rPr>
      </w:pPr>
    </w:p>
    <w:p w:rsidR="00403DAB" w:rsidRPr="00022CB8" w:rsidRDefault="00A51447" w:rsidP="000C2623">
      <w:pPr>
        <w:spacing w:line="360" w:lineRule="auto"/>
        <w:rPr>
          <w:i/>
          <w:color w:val="365F91" w:themeColor="accent1" w:themeShade="BF"/>
          <w:sz w:val="24"/>
          <w:szCs w:val="24"/>
        </w:rPr>
      </w:pPr>
      <w:r w:rsidRPr="00022CB8">
        <w:rPr>
          <w:i/>
          <w:color w:val="365F91" w:themeColor="accent1" w:themeShade="BF"/>
          <w:sz w:val="24"/>
          <w:szCs w:val="24"/>
        </w:rPr>
        <w:lastRenderedPageBreak/>
        <w:t>Strengthened protection for learners</w:t>
      </w:r>
    </w:p>
    <w:p w:rsidR="00403DAB" w:rsidRPr="000C2623" w:rsidRDefault="00403DAB" w:rsidP="000C2623">
      <w:pPr>
        <w:spacing w:line="360" w:lineRule="auto"/>
        <w:rPr>
          <w:sz w:val="24"/>
          <w:szCs w:val="24"/>
        </w:rPr>
      </w:pPr>
      <w:r w:rsidRPr="000C2623">
        <w:rPr>
          <w:sz w:val="24"/>
          <w:szCs w:val="24"/>
        </w:rPr>
        <w:t>The protection of enrolled learners (P</w:t>
      </w:r>
      <w:r w:rsidR="00A47EE4">
        <w:rPr>
          <w:sz w:val="24"/>
          <w:szCs w:val="24"/>
        </w:rPr>
        <w:t>EL) arrangements set out in the</w:t>
      </w:r>
      <w:r w:rsidR="00A51447" w:rsidRPr="000C2623">
        <w:rPr>
          <w:sz w:val="24"/>
          <w:szCs w:val="24"/>
        </w:rPr>
        <w:t xml:space="preserve"> Qualifications </w:t>
      </w:r>
      <w:r w:rsidR="00A47EE4">
        <w:rPr>
          <w:sz w:val="24"/>
          <w:szCs w:val="24"/>
        </w:rPr>
        <w:t xml:space="preserve">and Quality </w:t>
      </w:r>
      <w:r w:rsidR="00A51447" w:rsidRPr="000C2623">
        <w:rPr>
          <w:sz w:val="24"/>
          <w:szCs w:val="24"/>
        </w:rPr>
        <w:t xml:space="preserve">(Education and Training) Act 2012, </w:t>
      </w:r>
      <w:r w:rsidRPr="000C2623">
        <w:rPr>
          <w:sz w:val="24"/>
          <w:szCs w:val="24"/>
        </w:rPr>
        <w:t>build on a similar provision set out in the Qualifications (Education and Training Act) 1999. They pertain to programmes of three months duration or longer where moneys are paid by or on behalf of the learner and which lead to QQI awards. Certa</w:t>
      </w:r>
      <w:r w:rsidR="00535F52">
        <w:rPr>
          <w:sz w:val="24"/>
          <w:szCs w:val="24"/>
        </w:rPr>
        <w:t>in public providers are exempt</w:t>
      </w:r>
      <w:r w:rsidRPr="000C2623">
        <w:rPr>
          <w:sz w:val="24"/>
          <w:szCs w:val="24"/>
        </w:rPr>
        <w:t xml:space="preserve"> in the Act from this requirement, incl</w:t>
      </w:r>
      <w:r w:rsidR="00A51447" w:rsidRPr="000C2623">
        <w:rPr>
          <w:sz w:val="24"/>
          <w:szCs w:val="24"/>
        </w:rPr>
        <w:t>uding the universities, the Institutes of Technology and the Dublin Institute of Technology</w:t>
      </w:r>
      <w:r w:rsidRPr="000C2623">
        <w:rPr>
          <w:sz w:val="24"/>
          <w:szCs w:val="24"/>
        </w:rPr>
        <w:t>. As the awards of the RCSI are not made by QQI, it is technically also</w:t>
      </w:r>
      <w:r w:rsidR="00A51447" w:rsidRPr="000C2623">
        <w:rPr>
          <w:sz w:val="24"/>
          <w:szCs w:val="24"/>
        </w:rPr>
        <w:t xml:space="preserve"> exempt from the requirement.  </w:t>
      </w:r>
      <w:r w:rsidRPr="000C2623">
        <w:rPr>
          <w:sz w:val="24"/>
          <w:szCs w:val="24"/>
        </w:rPr>
        <w:t xml:space="preserve">QQI has developed protocols to assist providers in the fulfilment of their legal obligations in this regard. </w:t>
      </w:r>
    </w:p>
    <w:p w:rsidR="00403DAB" w:rsidRPr="000C2623" w:rsidRDefault="00403DAB" w:rsidP="000C2623">
      <w:pPr>
        <w:spacing w:line="360" w:lineRule="auto"/>
        <w:rPr>
          <w:color w:val="1F497D"/>
          <w:sz w:val="24"/>
          <w:szCs w:val="24"/>
        </w:rPr>
      </w:pPr>
    </w:p>
    <w:p w:rsidR="00403DAB" w:rsidRPr="000C2623" w:rsidRDefault="00403DAB" w:rsidP="000C2623">
      <w:pPr>
        <w:spacing w:line="360" w:lineRule="auto"/>
        <w:rPr>
          <w:sz w:val="24"/>
          <w:szCs w:val="24"/>
        </w:rPr>
      </w:pPr>
      <w:r w:rsidRPr="000C2623">
        <w:rPr>
          <w:sz w:val="24"/>
          <w:szCs w:val="24"/>
        </w:rPr>
        <w:t>As with the previous 1999 provision, the new P</w:t>
      </w:r>
      <w:r w:rsidR="009A546E">
        <w:rPr>
          <w:sz w:val="24"/>
          <w:szCs w:val="24"/>
        </w:rPr>
        <w:t>EL requirements protect students</w:t>
      </w:r>
      <w:r w:rsidRPr="000C2623">
        <w:rPr>
          <w:sz w:val="24"/>
          <w:szCs w:val="24"/>
        </w:rPr>
        <w:t xml:space="preserve"> who have paid fees </w:t>
      </w:r>
      <w:r w:rsidRPr="000C2623">
        <w:rPr>
          <w:sz w:val="24"/>
          <w:szCs w:val="24"/>
          <w:u w:val="single"/>
        </w:rPr>
        <w:t>and been enrolled</w:t>
      </w:r>
      <w:r w:rsidRPr="000C2623">
        <w:rPr>
          <w:sz w:val="24"/>
          <w:szCs w:val="24"/>
        </w:rPr>
        <w:t xml:space="preserve"> on a programme of three months duration or longer in circumstances where, for whatever reason, the programme ceas</w:t>
      </w:r>
      <w:r w:rsidR="009A546E">
        <w:rPr>
          <w:sz w:val="24"/>
          <w:szCs w:val="24"/>
        </w:rPr>
        <w:t>es prior to completion. Students</w:t>
      </w:r>
      <w:r w:rsidRPr="000C2623">
        <w:rPr>
          <w:sz w:val="24"/>
          <w:szCs w:val="24"/>
        </w:rPr>
        <w:t xml:space="preserve"> in these circumstances may either transfer to a similar programme of another provider (provided that that programme meets the requirements of the Irish visa regime), or, have their moneys refunded depending on which PEL arrangement the provider in question has in place. Significantly, howeve</w:t>
      </w:r>
      <w:r w:rsidR="009A546E">
        <w:rPr>
          <w:sz w:val="24"/>
          <w:szCs w:val="24"/>
        </w:rPr>
        <w:t>r,  those international students</w:t>
      </w:r>
      <w:r w:rsidRPr="000C2623">
        <w:rPr>
          <w:sz w:val="24"/>
          <w:szCs w:val="24"/>
        </w:rPr>
        <w:t xml:space="preserve"> who pay fees, but subsequently have their visa application rejected, or for whatever personal reason of their own cannot travel to Ireland to commence study on a programme, are not protected under the current PEL arrangements, as in this instance the programme on which they are enrolled has not ceased prior to completion. In order to m</w:t>
      </w:r>
      <w:r w:rsidR="009A546E">
        <w:rPr>
          <w:sz w:val="24"/>
          <w:szCs w:val="24"/>
        </w:rPr>
        <w:t>ake a visa application, students</w:t>
      </w:r>
      <w:r w:rsidRPr="000C2623">
        <w:rPr>
          <w:sz w:val="24"/>
          <w:szCs w:val="24"/>
        </w:rPr>
        <w:t xml:space="preserve"> are required under the Irish immigration regime to pay fees upfront to the provider in order for the visa application to be considered.  This </w:t>
      </w:r>
      <w:r w:rsidR="009A546E">
        <w:rPr>
          <w:sz w:val="24"/>
          <w:szCs w:val="24"/>
        </w:rPr>
        <w:t>may leave international students</w:t>
      </w:r>
      <w:r w:rsidRPr="000C2623">
        <w:rPr>
          <w:sz w:val="24"/>
          <w:szCs w:val="24"/>
        </w:rPr>
        <w:t xml:space="preserve"> exposed to providers with limited or no refund policies, or who retain a significant proportion of the fee as an administrative charge</w:t>
      </w:r>
      <w:r w:rsidR="00F86475" w:rsidRPr="000C2623">
        <w:rPr>
          <w:sz w:val="24"/>
          <w:szCs w:val="24"/>
        </w:rPr>
        <w:t>.</w:t>
      </w:r>
    </w:p>
    <w:p w:rsidR="00F86475" w:rsidRPr="000C2623" w:rsidRDefault="00535F52" w:rsidP="000C2623">
      <w:pPr>
        <w:spacing w:line="360" w:lineRule="auto"/>
        <w:rPr>
          <w:sz w:val="24"/>
          <w:szCs w:val="24"/>
        </w:rPr>
      </w:pPr>
      <w:r>
        <w:rPr>
          <w:sz w:val="24"/>
          <w:szCs w:val="24"/>
        </w:rPr>
        <w:t>T</w:t>
      </w:r>
      <w:r w:rsidR="00F86475" w:rsidRPr="000C2623">
        <w:rPr>
          <w:sz w:val="24"/>
          <w:szCs w:val="24"/>
        </w:rPr>
        <w:t>he IHEQN guidelines</w:t>
      </w:r>
      <w:r w:rsidR="00797443" w:rsidRPr="000C2623">
        <w:rPr>
          <w:rStyle w:val="FootnoteReference"/>
          <w:sz w:val="24"/>
          <w:szCs w:val="24"/>
        </w:rPr>
        <w:footnoteReference w:id="3"/>
      </w:r>
      <w:r w:rsidR="00E37AF0">
        <w:rPr>
          <w:sz w:val="24"/>
          <w:szCs w:val="24"/>
        </w:rPr>
        <w:t xml:space="preserve"> include a standard for </w:t>
      </w:r>
      <w:r>
        <w:rPr>
          <w:sz w:val="24"/>
          <w:szCs w:val="24"/>
        </w:rPr>
        <w:t xml:space="preserve">such </w:t>
      </w:r>
      <w:r w:rsidR="00797443" w:rsidRPr="000C2623">
        <w:rPr>
          <w:sz w:val="24"/>
          <w:szCs w:val="24"/>
        </w:rPr>
        <w:t xml:space="preserve">cases where students have paid fees but subsequently have their visa application refused. The standard requires a full refund in </w:t>
      </w:r>
      <w:r w:rsidR="00797443" w:rsidRPr="000C2623">
        <w:rPr>
          <w:sz w:val="24"/>
          <w:szCs w:val="24"/>
        </w:rPr>
        <w:lastRenderedPageBreak/>
        <w:t>tuition fee</w:t>
      </w:r>
      <w:r w:rsidR="00E37AF0">
        <w:rPr>
          <w:sz w:val="24"/>
          <w:szCs w:val="24"/>
        </w:rPr>
        <w:t xml:space="preserve">s in such cases. The application of a similar </w:t>
      </w:r>
      <w:r w:rsidR="00797443" w:rsidRPr="000C2623">
        <w:rPr>
          <w:sz w:val="24"/>
          <w:szCs w:val="24"/>
        </w:rPr>
        <w:t>standard</w:t>
      </w:r>
      <w:r w:rsidR="00143680" w:rsidRPr="000C2623">
        <w:rPr>
          <w:sz w:val="24"/>
          <w:szCs w:val="24"/>
        </w:rPr>
        <w:t xml:space="preserve"> for all providers seeking authorisation to use the IEM will be considered. </w:t>
      </w:r>
    </w:p>
    <w:p w:rsidR="00596068" w:rsidRPr="00022CB8" w:rsidRDefault="00596068" w:rsidP="000C2623">
      <w:pPr>
        <w:spacing w:line="360" w:lineRule="auto"/>
        <w:rPr>
          <w:i/>
          <w:color w:val="365F91" w:themeColor="accent1" w:themeShade="BF"/>
          <w:sz w:val="24"/>
          <w:szCs w:val="24"/>
        </w:rPr>
      </w:pPr>
      <w:r w:rsidRPr="00022CB8">
        <w:rPr>
          <w:i/>
          <w:color w:val="365F91" w:themeColor="accent1" w:themeShade="BF"/>
          <w:sz w:val="24"/>
          <w:szCs w:val="24"/>
        </w:rPr>
        <w:t xml:space="preserve">Student Complaints </w:t>
      </w:r>
    </w:p>
    <w:p w:rsidR="00596068" w:rsidRPr="000C2623" w:rsidRDefault="00B3259C" w:rsidP="000C2623">
      <w:pPr>
        <w:spacing w:line="360" w:lineRule="auto"/>
        <w:rPr>
          <w:sz w:val="24"/>
          <w:szCs w:val="24"/>
        </w:rPr>
      </w:pPr>
      <w:r w:rsidRPr="000C2623">
        <w:rPr>
          <w:sz w:val="24"/>
          <w:szCs w:val="24"/>
        </w:rPr>
        <w:t>In cases where a provider</w:t>
      </w:r>
      <w:r w:rsidR="00660C88">
        <w:rPr>
          <w:sz w:val="24"/>
          <w:szCs w:val="24"/>
        </w:rPr>
        <w:t>’</w:t>
      </w:r>
      <w:r w:rsidRPr="000C2623">
        <w:rPr>
          <w:sz w:val="24"/>
          <w:szCs w:val="24"/>
        </w:rPr>
        <w:t xml:space="preserve">s complaint handling mechanism does not satisfy a student, they should have access to a separate </w:t>
      </w:r>
      <w:r w:rsidR="00660C88">
        <w:rPr>
          <w:sz w:val="24"/>
          <w:szCs w:val="24"/>
        </w:rPr>
        <w:t>and independent process. T</w:t>
      </w:r>
      <w:r w:rsidRPr="000C2623">
        <w:rPr>
          <w:sz w:val="24"/>
          <w:szCs w:val="24"/>
        </w:rPr>
        <w:t xml:space="preserve">here are a number of complaint handling agencies that have authority to investigate complaints made by </w:t>
      </w:r>
      <w:r w:rsidR="00850F41" w:rsidRPr="000C2623">
        <w:rPr>
          <w:sz w:val="24"/>
          <w:szCs w:val="24"/>
        </w:rPr>
        <w:t xml:space="preserve">international </w:t>
      </w:r>
      <w:r w:rsidRPr="000C2623">
        <w:rPr>
          <w:sz w:val="24"/>
          <w:szCs w:val="24"/>
        </w:rPr>
        <w:t>students in relation to the quality of educational services</w:t>
      </w:r>
      <w:r w:rsidR="00850F41" w:rsidRPr="000C2623">
        <w:rPr>
          <w:sz w:val="24"/>
          <w:szCs w:val="24"/>
        </w:rPr>
        <w:t xml:space="preserve">, for example, </w:t>
      </w:r>
      <w:r w:rsidRPr="000C2623">
        <w:rPr>
          <w:sz w:val="24"/>
          <w:szCs w:val="24"/>
        </w:rPr>
        <w:t xml:space="preserve">the National Consumer Agency, </w:t>
      </w:r>
      <w:r w:rsidR="00660C88">
        <w:rPr>
          <w:sz w:val="24"/>
          <w:szCs w:val="24"/>
        </w:rPr>
        <w:t>ICOS and INIS</w:t>
      </w:r>
      <w:r w:rsidR="00850F41" w:rsidRPr="000C2623">
        <w:rPr>
          <w:sz w:val="24"/>
          <w:szCs w:val="24"/>
        </w:rPr>
        <w:t xml:space="preserve"> have a role in investigating</w:t>
      </w:r>
      <w:r w:rsidR="00523ABD">
        <w:rPr>
          <w:sz w:val="24"/>
          <w:szCs w:val="24"/>
        </w:rPr>
        <w:t xml:space="preserve"> complaints.</w:t>
      </w:r>
      <w:r w:rsidR="002550CA">
        <w:rPr>
          <w:sz w:val="24"/>
          <w:szCs w:val="24"/>
        </w:rPr>
        <w:t xml:space="preserve"> It is important that there is close coordination among State supported agencies that have a role in handling complaints and resolving disputes concerning international students. </w:t>
      </w:r>
    </w:p>
    <w:p w:rsidR="00403DAB" w:rsidRPr="000C2623" w:rsidRDefault="00403DAB" w:rsidP="000C2623">
      <w:pPr>
        <w:spacing w:line="360" w:lineRule="auto"/>
        <w:rPr>
          <w:sz w:val="24"/>
          <w:szCs w:val="24"/>
        </w:rPr>
      </w:pPr>
      <w:r w:rsidRPr="000C2623">
        <w:rPr>
          <w:sz w:val="24"/>
          <w:szCs w:val="24"/>
        </w:rPr>
        <w:t xml:space="preserve">The Ombudsmans (Amendment) Act 2012 </w:t>
      </w:r>
      <w:r w:rsidRPr="000C2623">
        <w:rPr>
          <w:rFonts w:cs="Arial"/>
          <w:sz w:val="24"/>
          <w:szCs w:val="24"/>
        </w:rPr>
        <w:t>can examine complaints in relation to the 'administrative actions' of public bodies that provide education and training related services, which occur on or after 1 May 2013 only.</w:t>
      </w:r>
      <w:r w:rsidRPr="000C2623">
        <w:rPr>
          <w:sz w:val="24"/>
          <w:szCs w:val="24"/>
        </w:rPr>
        <w:t xml:space="preserve"> Potentially, this development will strengthen the prote</w:t>
      </w:r>
      <w:r w:rsidR="00E1513D" w:rsidRPr="000C2623">
        <w:rPr>
          <w:sz w:val="24"/>
          <w:szCs w:val="24"/>
        </w:rPr>
        <w:t xml:space="preserve">ction afforded to international </w:t>
      </w:r>
      <w:r w:rsidR="001C113B">
        <w:rPr>
          <w:sz w:val="24"/>
          <w:szCs w:val="24"/>
        </w:rPr>
        <w:t>students attending publicly funded providers</w:t>
      </w:r>
      <w:r w:rsidR="00E1513D" w:rsidRPr="000C2623">
        <w:rPr>
          <w:sz w:val="24"/>
          <w:szCs w:val="24"/>
        </w:rPr>
        <w:t xml:space="preserve"> of education and training. </w:t>
      </w:r>
      <w:r w:rsidR="009F6519">
        <w:rPr>
          <w:sz w:val="24"/>
          <w:szCs w:val="24"/>
        </w:rPr>
        <w:t>Under the Qualifications and Quality Assurance (Educ</w:t>
      </w:r>
      <w:r w:rsidR="00167DF7">
        <w:rPr>
          <w:sz w:val="24"/>
          <w:szCs w:val="24"/>
        </w:rPr>
        <w:t>ation and training) Act 2012, QQI administer</w:t>
      </w:r>
      <w:r w:rsidR="009F6519">
        <w:rPr>
          <w:sz w:val="24"/>
          <w:szCs w:val="24"/>
        </w:rPr>
        <w:t xml:space="preserve"> a range of statutory functions to </w:t>
      </w:r>
      <w:r w:rsidR="00167DF7">
        <w:rPr>
          <w:sz w:val="24"/>
          <w:szCs w:val="24"/>
        </w:rPr>
        <w:t>‘</w:t>
      </w:r>
      <w:r w:rsidR="009F6519">
        <w:rPr>
          <w:sz w:val="24"/>
          <w:szCs w:val="24"/>
        </w:rPr>
        <w:t>relevant providers</w:t>
      </w:r>
      <w:r w:rsidR="00167DF7">
        <w:rPr>
          <w:sz w:val="24"/>
          <w:szCs w:val="24"/>
        </w:rPr>
        <w:t>’, including providers that are not public bodies</w:t>
      </w:r>
      <w:r w:rsidR="00E638A6">
        <w:rPr>
          <w:sz w:val="24"/>
          <w:szCs w:val="24"/>
        </w:rPr>
        <w:t>. The Ombudsmans Act 2012 should</w:t>
      </w:r>
      <w:r w:rsidR="009F6519">
        <w:rPr>
          <w:sz w:val="24"/>
          <w:szCs w:val="24"/>
        </w:rPr>
        <w:t xml:space="preserve"> be amended to </w:t>
      </w:r>
      <w:r w:rsidR="001460B6">
        <w:rPr>
          <w:sz w:val="24"/>
          <w:szCs w:val="24"/>
        </w:rPr>
        <w:t xml:space="preserve">extend access to </w:t>
      </w:r>
      <w:r w:rsidR="00167DF7">
        <w:rPr>
          <w:sz w:val="24"/>
          <w:szCs w:val="24"/>
        </w:rPr>
        <w:t>a</w:t>
      </w:r>
      <w:r w:rsidR="00E638A6">
        <w:rPr>
          <w:sz w:val="24"/>
          <w:szCs w:val="24"/>
        </w:rPr>
        <w:t>n independent</w:t>
      </w:r>
      <w:r w:rsidR="001460B6">
        <w:rPr>
          <w:sz w:val="24"/>
          <w:szCs w:val="24"/>
        </w:rPr>
        <w:t xml:space="preserve"> complaints handling mechanism to clients of </w:t>
      </w:r>
      <w:r w:rsidR="00E638A6">
        <w:rPr>
          <w:sz w:val="24"/>
          <w:szCs w:val="24"/>
        </w:rPr>
        <w:t>all providers classified as</w:t>
      </w:r>
      <w:r w:rsidR="001460B6">
        <w:rPr>
          <w:sz w:val="24"/>
          <w:szCs w:val="24"/>
        </w:rPr>
        <w:t xml:space="preserve"> </w:t>
      </w:r>
      <w:r w:rsidR="00167DF7">
        <w:rPr>
          <w:sz w:val="24"/>
          <w:szCs w:val="24"/>
        </w:rPr>
        <w:t>‘</w:t>
      </w:r>
      <w:r w:rsidR="001460B6">
        <w:rPr>
          <w:sz w:val="24"/>
          <w:szCs w:val="24"/>
        </w:rPr>
        <w:t>relevant providers</w:t>
      </w:r>
      <w:r w:rsidR="00167DF7">
        <w:rPr>
          <w:sz w:val="24"/>
          <w:szCs w:val="24"/>
        </w:rPr>
        <w:t xml:space="preserve">’ </w:t>
      </w:r>
      <w:r w:rsidR="001460B6">
        <w:rPr>
          <w:sz w:val="24"/>
          <w:szCs w:val="24"/>
        </w:rPr>
        <w:t xml:space="preserve">under the Qualifications </w:t>
      </w:r>
      <w:r w:rsidR="009F6519">
        <w:rPr>
          <w:sz w:val="24"/>
          <w:szCs w:val="24"/>
        </w:rPr>
        <w:t xml:space="preserve"> </w:t>
      </w:r>
      <w:r w:rsidR="001460B6">
        <w:rPr>
          <w:sz w:val="24"/>
          <w:szCs w:val="24"/>
        </w:rPr>
        <w:t xml:space="preserve">and Quality Assurance (Education and Training Act) 2012. </w:t>
      </w:r>
    </w:p>
    <w:p w:rsidR="001460B6" w:rsidRDefault="00557619" w:rsidP="000C2623">
      <w:pPr>
        <w:spacing w:line="360" w:lineRule="auto"/>
        <w:rPr>
          <w:sz w:val="24"/>
          <w:szCs w:val="24"/>
        </w:rPr>
      </w:pPr>
      <w:r w:rsidRPr="000C2623">
        <w:rPr>
          <w:sz w:val="24"/>
          <w:szCs w:val="24"/>
        </w:rPr>
        <w:t>QQI has a function to develop a statutory code of practice for the provision of prog</w:t>
      </w:r>
      <w:r w:rsidR="009A546E">
        <w:rPr>
          <w:sz w:val="24"/>
          <w:szCs w:val="24"/>
        </w:rPr>
        <w:t>rammes to international students</w:t>
      </w:r>
      <w:r w:rsidRPr="000C2623">
        <w:rPr>
          <w:sz w:val="24"/>
          <w:szCs w:val="24"/>
        </w:rPr>
        <w:t xml:space="preserve">. The code will include requirements for providers to have formal </w:t>
      </w:r>
      <w:r w:rsidR="00025BE9" w:rsidRPr="000C2623">
        <w:rPr>
          <w:sz w:val="24"/>
          <w:szCs w:val="24"/>
        </w:rPr>
        <w:t xml:space="preserve">internal </w:t>
      </w:r>
      <w:r w:rsidRPr="000C2623">
        <w:rPr>
          <w:sz w:val="24"/>
          <w:szCs w:val="24"/>
        </w:rPr>
        <w:t xml:space="preserve">processes for handling student complaints and resolving disputes. </w:t>
      </w:r>
      <w:r w:rsidR="00B17457">
        <w:rPr>
          <w:sz w:val="24"/>
          <w:szCs w:val="24"/>
        </w:rPr>
        <w:t>Where there is evidence</w:t>
      </w:r>
      <w:r w:rsidR="001460B6">
        <w:rPr>
          <w:sz w:val="24"/>
          <w:szCs w:val="24"/>
        </w:rPr>
        <w:t xml:space="preserve"> of a pattern of complaints against a relevant provider, QQI can initiate a statutory review of the provider concerned. QQI does not have a statutory remit to investigate complaints made by students or to intervene in disputes between students and providers. </w:t>
      </w:r>
      <w:r w:rsidR="00B17457">
        <w:rPr>
          <w:sz w:val="24"/>
          <w:szCs w:val="24"/>
        </w:rPr>
        <w:t xml:space="preserve"> </w:t>
      </w:r>
    </w:p>
    <w:p w:rsidR="00850F41" w:rsidRPr="000C2623" w:rsidRDefault="001460B6" w:rsidP="000C2623">
      <w:pPr>
        <w:spacing w:line="360" w:lineRule="auto"/>
        <w:rPr>
          <w:sz w:val="24"/>
          <w:szCs w:val="24"/>
        </w:rPr>
      </w:pPr>
      <w:r>
        <w:rPr>
          <w:sz w:val="24"/>
          <w:szCs w:val="24"/>
        </w:rPr>
        <w:t>Th</w:t>
      </w:r>
      <w:r w:rsidR="00167DF7">
        <w:rPr>
          <w:sz w:val="24"/>
          <w:szCs w:val="24"/>
        </w:rPr>
        <w:t xml:space="preserve">ere may be a risk to our competitive position where </w:t>
      </w:r>
      <w:r>
        <w:rPr>
          <w:sz w:val="24"/>
          <w:szCs w:val="24"/>
        </w:rPr>
        <w:t>all</w:t>
      </w:r>
      <w:r w:rsidR="00167DF7">
        <w:rPr>
          <w:sz w:val="24"/>
          <w:szCs w:val="24"/>
        </w:rPr>
        <w:t xml:space="preserve"> international students do not</w:t>
      </w:r>
      <w:r w:rsidR="00025BE9" w:rsidRPr="000C2623">
        <w:rPr>
          <w:sz w:val="24"/>
          <w:szCs w:val="24"/>
        </w:rPr>
        <w:t xml:space="preserve"> have recourse to an independent</w:t>
      </w:r>
      <w:r w:rsidR="00167DF7">
        <w:rPr>
          <w:sz w:val="24"/>
          <w:szCs w:val="24"/>
        </w:rPr>
        <w:t>,</w:t>
      </w:r>
      <w:r w:rsidR="00025BE9" w:rsidRPr="000C2623">
        <w:rPr>
          <w:sz w:val="24"/>
          <w:szCs w:val="24"/>
        </w:rPr>
        <w:t xml:space="preserve"> external body in cases where they are dissatisfied with the </w:t>
      </w:r>
      <w:r w:rsidR="00025BE9" w:rsidRPr="000C2623">
        <w:rPr>
          <w:sz w:val="24"/>
          <w:szCs w:val="24"/>
        </w:rPr>
        <w:lastRenderedPageBreak/>
        <w:t>process or outcome o</w:t>
      </w:r>
      <w:r w:rsidR="000C2623" w:rsidRPr="000C2623">
        <w:rPr>
          <w:sz w:val="24"/>
          <w:szCs w:val="24"/>
        </w:rPr>
        <w:t>f a provider’s internal mechanisms for handling complaints or resolving dispu</w:t>
      </w:r>
      <w:r w:rsidR="001C113B">
        <w:rPr>
          <w:sz w:val="24"/>
          <w:szCs w:val="24"/>
        </w:rPr>
        <w:t xml:space="preserve">tes. </w:t>
      </w:r>
      <w:r>
        <w:rPr>
          <w:sz w:val="24"/>
          <w:szCs w:val="24"/>
        </w:rPr>
        <w:t>In this regard, it is</w:t>
      </w:r>
      <w:r w:rsidR="001C113B">
        <w:rPr>
          <w:sz w:val="24"/>
          <w:szCs w:val="24"/>
        </w:rPr>
        <w:t xml:space="preserve"> worth noting that the</w:t>
      </w:r>
      <w:r w:rsidR="000C2623" w:rsidRPr="000C2623">
        <w:rPr>
          <w:sz w:val="24"/>
          <w:szCs w:val="24"/>
        </w:rPr>
        <w:t xml:space="preserve"> Council o</w:t>
      </w:r>
      <w:r w:rsidR="00025BE9" w:rsidRPr="000C2623">
        <w:rPr>
          <w:sz w:val="24"/>
          <w:szCs w:val="24"/>
        </w:rPr>
        <w:t>f Australian Governments require providers to use an independent</w:t>
      </w:r>
      <w:r w:rsidR="001C113B">
        <w:rPr>
          <w:sz w:val="24"/>
          <w:szCs w:val="24"/>
        </w:rPr>
        <w:t>,</w:t>
      </w:r>
      <w:r w:rsidR="00025BE9" w:rsidRPr="000C2623">
        <w:rPr>
          <w:sz w:val="24"/>
          <w:szCs w:val="24"/>
        </w:rPr>
        <w:t xml:space="preserve"> statutory external complaints body. This is intended to ensure that international students will be able to take their complaint to their State or Commonwealth Government authority if they consider that the provider</w:t>
      </w:r>
      <w:r w:rsidR="000C2623" w:rsidRPr="000C2623">
        <w:rPr>
          <w:sz w:val="24"/>
          <w:szCs w:val="24"/>
        </w:rPr>
        <w:t>’</w:t>
      </w:r>
      <w:r w:rsidR="00025BE9" w:rsidRPr="000C2623">
        <w:rPr>
          <w:sz w:val="24"/>
          <w:szCs w:val="24"/>
        </w:rPr>
        <w:t>s response to the complaint is unsatisfactory.</w:t>
      </w:r>
      <w:r w:rsidR="00025BE9" w:rsidRPr="000C2623">
        <w:rPr>
          <w:rStyle w:val="FootnoteReference"/>
          <w:sz w:val="24"/>
          <w:szCs w:val="24"/>
        </w:rPr>
        <w:footnoteReference w:id="4"/>
      </w:r>
    </w:p>
    <w:p w:rsidR="004227AC" w:rsidRPr="00022CB8" w:rsidRDefault="004227AC" w:rsidP="000C2623">
      <w:pPr>
        <w:spacing w:line="360" w:lineRule="auto"/>
        <w:rPr>
          <w:rFonts w:eastAsia="Calibri" w:cs="Times New Roman"/>
          <w:i/>
          <w:color w:val="365F91" w:themeColor="accent1" w:themeShade="BF"/>
          <w:sz w:val="24"/>
          <w:szCs w:val="24"/>
        </w:rPr>
      </w:pPr>
      <w:r w:rsidRPr="00022CB8">
        <w:rPr>
          <w:rFonts w:eastAsia="Calibri" w:cs="Times New Roman"/>
          <w:i/>
          <w:color w:val="365F91" w:themeColor="accent1" w:themeShade="BF"/>
          <w:sz w:val="24"/>
          <w:szCs w:val="24"/>
        </w:rPr>
        <w:t>Foundation courses</w:t>
      </w:r>
      <w:r w:rsidR="00925277" w:rsidRPr="00022CB8">
        <w:rPr>
          <w:rFonts w:eastAsia="Calibri" w:cs="Times New Roman"/>
          <w:i/>
          <w:color w:val="365F91" w:themeColor="accent1" w:themeShade="BF"/>
          <w:sz w:val="24"/>
          <w:szCs w:val="24"/>
        </w:rPr>
        <w:t xml:space="preserve"> for international students</w:t>
      </w:r>
    </w:p>
    <w:p w:rsidR="00660C88" w:rsidRPr="001C113B" w:rsidRDefault="00365434" w:rsidP="000C2623">
      <w:pPr>
        <w:spacing w:line="360" w:lineRule="auto"/>
        <w:rPr>
          <w:rFonts w:eastAsia="Calibri" w:cs="Times New Roman"/>
          <w:i/>
          <w:sz w:val="24"/>
          <w:szCs w:val="24"/>
        </w:rPr>
      </w:pPr>
      <w:r w:rsidRPr="00660C88">
        <w:rPr>
          <w:rFonts w:eastAsia="Calibri" w:cs="Times New Roman"/>
          <w:sz w:val="24"/>
          <w:szCs w:val="24"/>
        </w:rPr>
        <w:t>There is a growing d</w:t>
      </w:r>
      <w:r w:rsidR="009A546E">
        <w:rPr>
          <w:rFonts w:eastAsia="Calibri" w:cs="Times New Roman"/>
          <w:sz w:val="24"/>
          <w:szCs w:val="24"/>
        </w:rPr>
        <w:t>emand from international student</w:t>
      </w:r>
      <w:r w:rsidRPr="00660C88">
        <w:rPr>
          <w:rFonts w:eastAsia="Calibri" w:cs="Times New Roman"/>
          <w:sz w:val="24"/>
          <w:szCs w:val="24"/>
        </w:rPr>
        <w:t>s for foundat</w:t>
      </w:r>
      <w:r w:rsidR="009A546E">
        <w:rPr>
          <w:rFonts w:eastAsia="Calibri" w:cs="Times New Roman"/>
          <w:sz w:val="24"/>
          <w:szCs w:val="24"/>
        </w:rPr>
        <w:t>ion courses that prepare student</w:t>
      </w:r>
      <w:r w:rsidRPr="00660C88">
        <w:rPr>
          <w:rFonts w:eastAsia="Calibri" w:cs="Times New Roman"/>
          <w:sz w:val="24"/>
          <w:szCs w:val="24"/>
        </w:rPr>
        <w:t xml:space="preserve">s for access to undergraduate and post-graduate programmes in higher education.  </w:t>
      </w:r>
      <w:r w:rsidR="00660C88" w:rsidRPr="00660C88">
        <w:rPr>
          <w:rFonts w:eastAsia="Calibri" w:cs="Times New Roman"/>
          <w:sz w:val="24"/>
          <w:szCs w:val="24"/>
        </w:rPr>
        <w:t>The need to develop expertise and competence in the area of EAP foundation and in</w:t>
      </w:r>
      <w:r w:rsidR="00660C88">
        <w:rPr>
          <w:rFonts w:eastAsia="Calibri" w:cs="Times New Roman"/>
          <w:sz w:val="24"/>
          <w:szCs w:val="24"/>
        </w:rPr>
        <w:t>-</w:t>
      </w:r>
      <w:r w:rsidR="00660C88" w:rsidRPr="00660C88">
        <w:rPr>
          <w:rFonts w:eastAsia="Calibri" w:cs="Times New Roman"/>
          <w:sz w:val="24"/>
          <w:szCs w:val="24"/>
        </w:rPr>
        <w:t xml:space="preserve">sessional </w:t>
      </w:r>
      <w:r w:rsidR="00660C88">
        <w:rPr>
          <w:rFonts w:eastAsia="Calibri" w:cs="Times New Roman"/>
          <w:sz w:val="24"/>
          <w:szCs w:val="24"/>
        </w:rPr>
        <w:t>programmes and teacher training</w:t>
      </w:r>
      <w:r w:rsidR="00660C88" w:rsidRPr="00660C88">
        <w:rPr>
          <w:rFonts w:eastAsia="Calibri" w:cs="Times New Roman"/>
          <w:sz w:val="24"/>
          <w:szCs w:val="24"/>
        </w:rPr>
        <w:t xml:space="preserve"> was hi</w:t>
      </w:r>
      <w:r w:rsidR="001C113B">
        <w:rPr>
          <w:rFonts w:eastAsia="Calibri" w:cs="Times New Roman"/>
          <w:sz w:val="24"/>
          <w:szCs w:val="24"/>
        </w:rPr>
        <w:t xml:space="preserve">ghlighted as a need in </w:t>
      </w:r>
      <w:r w:rsidR="001C113B" w:rsidRPr="001C113B">
        <w:rPr>
          <w:rFonts w:eastAsia="Calibri" w:cs="Times New Roman"/>
          <w:i/>
          <w:sz w:val="24"/>
          <w:szCs w:val="24"/>
        </w:rPr>
        <w:t>Ireland</w:t>
      </w:r>
      <w:r w:rsidR="002B6F70">
        <w:rPr>
          <w:rFonts w:eastAsia="Calibri" w:cs="Times New Roman"/>
          <w:i/>
          <w:sz w:val="24"/>
          <w:szCs w:val="24"/>
        </w:rPr>
        <w:t>’</w:t>
      </w:r>
      <w:r w:rsidR="001C113B" w:rsidRPr="001C113B">
        <w:rPr>
          <w:rFonts w:eastAsia="Calibri" w:cs="Times New Roman"/>
          <w:i/>
          <w:sz w:val="24"/>
          <w:szCs w:val="24"/>
        </w:rPr>
        <w:t xml:space="preserve">s </w:t>
      </w:r>
      <w:r w:rsidR="00660C88" w:rsidRPr="001C113B">
        <w:rPr>
          <w:rFonts w:eastAsia="Calibri" w:cs="Times New Roman"/>
          <w:i/>
          <w:sz w:val="24"/>
          <w:szCs w:val="24"/>
        </w:rPr>
        <w:t xml:space="preserve">International Education Strategy. </w:t>
      </w:r>
    </w:p>
    <w:p w:rsidR="00803133" w:rsidRPr="00660C88" w:rsidRDefault="001C113B" w:rsidP="000C2623">
      <w:pPr>
        <w:spacing w:line="360" w:lineRule="auto"/>
        <w:rPr>
          <w:rFonts w:eastAsia="Calibri" w:cs="Times New Roman"/>
          <w:sz w:val="24"/>
          <w:szCs w:val="24"/>
        </w:rPr>
      </w:pPr>
      <w:r>
        <w:rPr>
          <w:rFonts w:eastAsia="Calibri" w:cs="Times New Roman"/>
          <w:sz w:val="24"/>
          <w:szCs w:val="24"/>
        </w:rPr>
        <w:t>Foundation type programmes in Ireland can be categorised under three broad types.</w:t>
      </w:r>
    </w:p>
    <w:p w:rsidR="00365434" w:rsidRPr="00660C88" w:rsidRDefault="008C0AA8" w:rsidP="000C2623">
      <w:pPr>
        <w:pStyle w:val="ListParagraph"/>
        <w:numPr>
          <w:ilvl w:val="0"/>
          <w:numId w:val="6"/>
        </w:numPr>
        <w:spacing w:line="360" w:lineRule="auto"/>
        <w:rPr>
          <w:rFonts w:eastAsia="Calibri" w:cs="Times New Roman"/>
          <w:sz w:val="24"/>
          <w:szCs w:val="24"/>
        </w:rPr>
      </w:pPr>
      <w:r w:rsidRPr="00660C88">
        <w:rPr>
          <w:rFonts w:eastAsia="Calibri" w:cs="Times New Roman"/>
          <w:sz w:val="24"/>
          <w:szCs w:val="24"/>
        </w:rPr>
        <w:t>Affiliated arrangements</w:t>
      </w:r>
    </w:p>
    <w:p w:rsidR="00005E4B" w:rsidRPr="00660C88" w:rsidRDefault="008C0AA8" w:rsidP="000C2623">
      <w:pPr>
        <w:spacing w:line="360" w:lineRule="auto"/>
        <w:rPr>
          <w:rFonts w:eastAsia="Calibri" w:cs="Times New Roman"/>
          <w:sz w:val="24"/>
          <w:szCs w:val="24"/>
        </w:rPr>
      </w:pPr>
      <w:r w:rsidRPr="00660C88">
        <w:rPr>
          <w:rFonts w:eastAsia="Calibri" w:cs="Times New Roman"/>
          <w:sz w:val="24"/>
          <w:szCs w:val="24"/>
        </w:rPr>
        <w:t>Organisations such as Kaplan, Study Group International and Navitas provide foundation programmes and related services to a higher education institute. These arrangements are common in the UK</w:t>
      </w:r>
      <w:r w:rsidR="00143856">
        <w:rPr>
          <w:rFonts w:eastAsia="Calibri" w:cs="Times New Roman"/>
          <w:sz w:val="24"/>
          <w:szCs w:val="24"/>
        </w:rPr>
        <w:t>.</w:t>
      </w:r>
      <w:r w:rsidRPr="00660C88">
        <w:rPr>
          <w:rFonts w:eastAsia="Calibri" w:cs="Times New Roman"/>
          <w:sz w:val="24"/>
          <w:szCs w:val="24"/>
        </w:rPr>
        <w:t xml:space="preserve"> In Ireland TCD and UCD have an agreement with Study Group International that is typical of this approach. Agreements between the HEI</w:t>
      </w:r>
      <w:r w:rsidR="00DC47B4" w:rsidRPr="00660C88">
        <w:rPr>
          <w:rFonts w:eastAsia="Calibri" w:cs="Times New Roman"/>
          <w:sz w:val="24"/>
          <w:szCs w:val="24"/>
        </w:rPr>
        <w:t xml:space="preserve"> and the provider may specify progression pathways following successful completion of the foundation course. </w:t>
      </w:r>
    </w:p>
    <w:p w:rsidR="008C0AA8" w:rsidRPr="00660C88" w:rsidRDefault="00005E4B" w:rsidP="000C2623">
      <w:pPr>
        <w:pStyle w:val="ListParagraph"/>
        <w:numPr>
          <w:ilvl w:val="0"/>
          <w:numId w:val="6"/>
        </w:numPr>
        <w:spacing w:line="360" w:lineRule="auto"/>
        <w:rPr>
          <w:rFonts w:eastAsia="Calibri" w:cs="Times New Roman"/>
          <w:sz w:val="24"/>
          <w:szCs w:val="24"/>
        </w:rPr>
      </w:pPr>
      <w:r>
        <w:rPr>
          <w:rFonts w:eastAsia="Calibri" w:cs="Times New Roman"/>
          <w:sz w:val="24"/>
          <w:szCs w:val="24"/>
        </w:rPr>
        <w:t>Higher Education Institutions in-house</w:t>
      </w:r>
      <w:r w:rsidR="008C0AA8" w:rsidRPr="00660C88">
        <w:rPr>
          <w:rFonts w:eastAsia="Calibri" w:cs="Times New Roman"/>
          <w:sz w:val="24"/>
          <w:szCs w:val="24"/>
        </w:rPr>
        <w:t xml:space="preserve"> foundation programme</w:t>
      </w:r>
      <w:r>
        <w:rPr>
          <w:rFonts w:eastAsia="Calibri" w:cs="Times New Roman"/>
          <w:sz w:val="24"/>
          <w:szCs w:val="24"/>
        </w:rPr>
        <w:t>s</w:t>
      </w:r>
    </w:p>
    <w:p w:rsidR="001C113B" w:rsidRDefault="008C0AA8" w:rsidP="000C2623">
      <w:pPr>
        <w:spacing w:line="360" w:lineRule="auto"/>
        <w:rPr>
          <w:rFonts w:eastAsia="Calibri" w:cs="Times New Roman"/>
          <w:sz w:val="24"/>
          <w:szCs w:val="24"/>
        </w:rPr>
      </w:pPr>
      <w:r w:rsidRPr="00660C88">
        <w:rPr>
          <w:rFonts w:eastAsia="Calibri" w:cs="Times New Roman"/>
          <w:sz w:val="24"/>
          <w:szCs w:val="24"/>
        </w:rPr>
        <w:t xml:space="preserve">Higher Education Institutes provide their own foundation programmes and will grant access to undergraduate or post graduate programmes following successful completion. </w:t>
      </w:r>
      <w:r w:rsidR="00DC47B4" w:rsidRPr="00660C88">
        <w:rPr>
          <w:rFonts w:eastAsia="Calibri" w:cs="Times New Roman"/>
          <w:sz w:val="24"/>
          <w:szCs w:val="24"/>
        </w:rPr>
        <w:t xml:space="preserve">These courses are sometimes also referred to as access courses and will typically include English language instruction, academic preparation and general support for international students to settle into their new environment. </w:t>
      </w:r>
    </w:p>
    <w:p w:rsidR="00005E4B" w:rsidRPr="00660C88" w:rsidRDefault="00005E4B" w:rsidP="000C2623">
      <w:pPr>
        <w:spacing w:line="360" w:lineRule="auto"/>
        <w:rPr>
          <w:rFonts w:eastAsia="Calibri" w:cs="Times New Roman"/>
          <w:sz w:val="24"/>
          <w:szCs w:val="24"/>
        </w:rPr>
      </w:pPr>
    </w:p>
    <w:p w:rsidR="008F2F07" w:rsidRPr="00660C88" w:rsidRDefault="008F2F07" w:rsidP="000C2623">
      <w:pPr>
        <w:pStyle w:val="ListParagraph"/>
        <w:numPr>
          <w:ilvl w:val="0"/>
          <w:numId w:val="6"/>
        </w:numPr>
        <w:spacing w:line="360" w:lineRule="auto"/>
        <w:rPr>
          <w:rFonts w:eastAsia="Calibri" w:cs="Times New Roman"/>
          <w:sz w:val="24"/>
          <w:szCs w:val="24"/>
        </w:rPr>
      </w:pPr>
      <w:r w:rsidRPr="00660C88">
        <w:rPr>
          <w:rFonts w:eastAsia="Calibri" w:cs="Times New Roman"/>
          <w:sz w:val="24"/>
          <w:szCs w:val="24"/>
        </w:rPr>
        <w:lastRenderedPageBreak/>
        <w:t>English Language Teaching Organisations</w:t>
      </w:r>
      <w:r w:rsidR="00005E4B">
        <w:rPr>
          <w:rFonts w:eastAsia="Calibri" w:cs="Times New Roman"/>
          <w:sz w:val="24"/>
          <w:szCs w:val="24"/>
        </w:rPr>
        <w:t xml:space="preserve"> foundation programmes</w:t>
      </w:r>
    </w:p>
    <w:p w:rsidR="008F2F07" w:rsidRPr="00660C88" w:rsidRDefault="001C113B" w:rsidP="000C2623">
      <w:pPr>
        <w:spacing w:line="360" w:lineRule="auto"/>
        <w:rPr>
          <w:rFonts w:eastAsia="Calibri" w:cs="Times New Roman"/>
          <w:sz w:val="24"/>
          <w:szCs w:val="24"/>
        </w:rPr>
      </w:pPr>
      <w:r>
        <w:rPr>
          <w:rFonts w:eastAsia="Calibri" w:cs="Times New Roman"/>
          <w:sz w:val="24"/>
          <w:szCs w:val="24"/>
        </w:rPr>
        <w:t>Either stand-</w:t>
      </w:r>
      <w:r w:rsidR="008F2F07" w:rsidRPr="00660C88">
        <w:rPr>
          <w:rFonts w:eastAsia="Calibri" w:cs="Times New Roman"/>
          <w:sz w:val="24"/>
          <w:szCs w:val="24"/>
        </w:rPr>
        <w:t xml:space="preserve">alone programmes or </w:t>
      </w:r>
      <w:r w:rsidR="00A72308">
        <w:rPr>
          <w:rFonts w:eastAsia="Calibri" w:cs="Times New Roman"/>
          <w:sz w:val="24"/>
          <w:szCs w:val="24"/>
        </w:rPr>
        <w:t xml:space="preserve">programmes </w:t>
      </w:r>
      <w:r w:rsidR="008F2F07" w:rsidRPr="00660C88">
        <w:rPr>
          <w:rFonts w:eastAsia="Calibri" w:cs="Times New Roman"/>
          <w:sz w:val="24"/>
          <w:szCs w:val="24"/>
        </w:rPr>
        <w:t>delivered in conjunction with higher education Institutions.</w:t>
      </w:r>
      <w:r w:rsidR="008955EC" w:rsidRPr="00660C88">
        <w:rPr>
          <w:rFonts w:eastAsia="Calibri" w:cs="Times New Roman"/>
          <w:sz w:val="24"/>
          <w:szCs w:val="24"/>
        </w:rPr>
        <w:t xml:space="preserve"> Sometimes labelled as English for academic purposes (EAP), programmes focus on English language proficiency and terminate with certification such as IELTS.</w:t>
      </w:r>
    </w:p>
    <w:p w:rsidR="00820078" w:rsidRPr="00660C88" w:rsidRDefault="001C113B" w:rsidP="000C2623">
      <w:pPr>
        <w:spacing w:line="360" w:lineRule="auto"/>
        <w:rPr>
          <w:rFonts w:eastAsia="Calibri" w:cs="Times New Roman"/>
          <w:sz w:val="24"/>
          <w:szCs w:val="24"/>
        </w:rPr>
      </w:pPr>
      <w:r>
        <w:rPr>
          <w:rFonts w:eastAsia="Calibri" w:cs="Times New Roman"/>
          <w:sz w:val="24"/>
          <w:szCs w:val="24"/>
        </w:rPr>
        <w:t xml:space="preserve">These three types of foundation programmes have the potential to support </w:t>
      </w:r>
      <w:r w:rsidR="00DC47B4" w:rsidRPr="00660C88">
        <w:rPr>
          <w:rFonts w:eastAsia="Calibri" w:cs="Times New Roman"/>
          <w:sz w:val="24"/>
          <w:szCs w:val="24"/>
        </w:rPr>
        <w:t xml:space="preserve">international students to improve their English language and academic skills and can also provide a supportive environment for </w:t>
      </w:r>
      <w:r w:rsidR="00820078" w:rsidRPr="00660C88">
        <w:rPr>
          <w:rFonts w:eastAsia="Calibri" w:cs="Times New Roman"/>
          <w:sz w:val="24"/>
          <w:szCs w:val="24"/>
        </w:rPr>
        <w:t xml:space="preserve">these </w:t>
      </w:r>
      <w:r w:rsidR="00DC47B4" w:rsidRPr="00660C88">
        <w:rPr>
          <w:rFonts w:eastAsia="Calibri" w:cs="Times New Roman"/>
          <w:sz w:val="24"/>
          <w:szCs w:val="24"/>
        </w:rPr>
        <w:t xml:space="preserve">students to </w:t>
      </w:r>
      <w:r w:rsidR="00820078" w:rsidRPr="00660C88">
        <w:rPr>
          <w:rFonts w:eastAsia="Calibri" w:cs="Times New Roman"/>
          <w:sz w:val="24"/>
          <w:szCs w:val="24"/>
        </w:rPr>
        <w:t>become comfortable and confident in an unfamiliar setting. However, this type of provision in Ireland is not well defined</w:t>
      </w:r>
      <w:r w:rsidR="00660C88">
        <w:rPr>
          <w:rFonts w:eastAsia="Calibri" w:cs="Times New Roman"/>
          <w:sz w:val="24"/>
          <w:szCs w:val="24"/>
        </w:rPr>
        <w:t xml:space="preserve"> or understood</w:t>
      </w:r>
      <w:r>
        <w:rPr>
          <w:rFonts w:eastAsia="Calibri" w:cs="Times New Roman"/>
          <w:sz w:val="24"/>
          <w:szCs w:val="24"/>
        </w:rPr>
        <w:t xml:space="preserve"> by most policy makers</w:t>
      </w:r>
      <w:r w:rsidR="00820078" w:rsidRPr="00660C88">
        <w:rPr>
          <w:rFonts w:eastAsia="Calibri" w:cs="Times New Roman"/>
          <w:sz w:val="24"/>
          <w:szCs w:val="24"/>
        </w:rPr>
        <w:t xml:space="preserve">. Foundation courses vary in duration, curriculum, assessment practices, post study access options and supports and certification practice. </w:t>
      </w:r>
    </w:p>
    <w:p w:rsidR="00E815C3" w:rsidRDefault="00820078" w:rsidP="000C2623">
      <w:pPr>
        <w:spacing w:line="360" w:lineRule="auto"/>
        <w:rPr>
          <w:rFonts w:eastAsia="Calibri" w:cs="Times New Roman"/>
          <w:sz w:val="24"/>
          <w:szCs w:val="24"/>
        </w:rPr>
      </w:pPr>
      <w:r w:rsidRPr="00660C88">
        <w:rPr>
          <w:rFonts w:eastAsia="Calibri" w:cs="Times New Roman"/>
          <w:sz w:val="24"/>
          <w:szCs w:val="24"/>
        </w:rPr>
        <w:t>QQI will complete a revie</w:t>
      </w:r>
      <w:r w:rsidR="00925277" w:rsidRPr="00660C88">
        <w:rPr>
          <w:rFonts w:eastAsia="Calibri" w:cs="Times New Roman"/>
          <w:sz w:val="24"/>
          <w:szCs w:val="24"/>
        </w:rPr>
        <w:t xml:space="preserve">w </w:t>
      </w:r>
      <w:r w:rsidR="00143856">
        <w:rPr>
          <w:rFonts w:eastAsia="Calibri" w:cs="Times New Roman"/>
          <w:sz w:val="24"/>
          <w:szCs w:val="24"/>
        </w:rPr>
        <w:t xml:space="preserve">of </w:t>
      </w:r>
      <w:r w:rsidR="00925277" w:rsidRPr="00660C88">
        <w:rPr>
          <w:rFonts w:eastAsia="Calibri" w:cs="Times New Roman"/>
          <w:sz w:val="24"/>
          <w:szCs w:val="24"/>
        </w:rPr>
        <w:t xml:space="preserve">provision in this area </w:t>
      </w:r>
      <w:r w:rsidR="00A72308">
        <w:rPr>
          <w:rFonts w:eastAsia="Calibri" w:cs="Times New Roman"/>
          <w:sz w:val="24"/>
          <w:szCs w:val="24"/>
        </w:rPr>
        <w:t xml:space="preserve">and </w:t>
      </w:r>
      <w:r w:rsidR="008F2F07" w:rsidRPr="00660C88">
        <w:rPr>
          <w:rFonts w:eastAsia="Calibri" w:cs="Times New Roman"/>
          <w:sz w:val="24"/>
          <w:szCs w:val="24"/>
        </w:rPr>
        <w:t>will co-o</w:t>
      </w:r>
      <w:r w:rsidR="00925277" w:rsidRPr="00660C88">
        <w:rPr>
          <w:rFonts w:eastAsia="Calibri" w:cs="Times New Roman"/>
          <w:sz w:val="24"/>
          <w:szCs w:val="24"/>
        </w:rPr>
        <w:t>rdinate the devel</w:t>
      </w:r>
      <w:r w:rsidR="002B6F70">
        <w:rPr>
          <w:rFonts w:eastAsia="Calibri" w:cs="Times New Roman"/>
          <w:sz w:val="24"/>
          <w:szCs w:val="24"/>
        </w:rPr>
        <w:t>opment of relevant award</w:t>
      </w:r>
      <w:r w:rsidR="00925277" w:rsidRPr="00660C88">
        <w:rPr>
          <w:rFonts w:eastAsia="Calibri" w:cs="Times New Roman"/>
          <w:sz w:val="24"/>
          <w:szCs w:val="24"/>
        </w:rPr>
        <w:t xml:space="preserve"> standards</w:t>
      </w:r>
      <w:r w:rsidR="00660C88">
        <w:rPr>
          <w:rFonts w:eastAsia="Calibri" w:cs="Times New Roman"/>
          <w:sz w:val="24"/>
          <w:szCs w:val="24"/>
        </w:rPr>
        <w:t xml:space="preserve"> where</w:t>
      </w:r>
      <w:r w:rsidR="00A72308">
        <w:rPr>
          <w:rFonts w:eastAsia="Calibri" w:cs="Times New Roman"/>
          <w:sz w:val="24"/>
          <w:szCs w:val="24"/>
        </w:rPr>
        <w:t xml:space="preserve"> there is a need to enhance the transparency and recognition of these</w:t>
      </w:r>
      <w:r w:rsidR="00925277" w:rsidRPr="00660C88">
        <w:rPr>
          <w:rFonts w:eastAsia="Calibri" w:cs="Times New Roman"/>
          <w:sz w:val="24"/>
          <w:szCs w:val="24"/>
        </w:rPr>
        <w:t xml:space="preserve"> typ</w:t>
      </w:r>
      <w:r w:rsidR="00660C88">
        <w:rPr>
          <w:rFonts w:eastAsia="Calibri" w:cs="Times New Roman"/>
          <w:sz w:val="24"/>
          <w:szCs w:val="24"/>
        </w:rPr>
        <w:t>es of programmes</w:t>
      </w:r>
      <w:r w:rsidR="00925277" w:rsidRPr="00660C88">
        <w:rPr>
          <w:rFonts w:eastAsia="Calibri" w:cs="Times New Roman"/>
          <w:sz w:val="24"/>
          <w:szCs w:val="24"/>
        </w:rPr>
        <w:t xml:space="preserve"> </w:t>
      </w:r>
      <w:r w:rsidR="00A72308">
        <w:rPr>
          <w:rFonts w:eastAsia="Calibri" w:cs="Times New Roman"/>
          <w:sz w:val="24"/>
          <w:szCs w:val="24"/>
        </w:rPr>
        <w:t xml:space="preserve">for international </w:t>
      </w:r>
      <w:r w:rsidR="009A546E">
        <w:rPr>
          <w:rFonts w:eastAsia="Calibri" w:cs="Times New Roman"/>
          <w:sz w:val="24"/>
          <w:szCs w:val="24"/>
        </w:rPr>
        <w:t>student</w:t>
      </w:r>
      <w:r w:rsidR="00A72308">
        <w:rPr>
          <w:rFonts w:eastAsia="Calibri" w:cs="Times New Roman"/>
          <w:sz w:val="24"/>
          <w:szCs w:val="24"/>
        </w:rPr>
        <w:t>s</w:t>
      </w:r>
      <w:r w:rsidR="00925277" w:rsidRPr="00660C88">
        <w:rPr>
          <w:rFonts w:eastAsia="Calibri" w:cs="Times New Roman"/>
          <w:sz w:val="24"/>
          <w:szCs w:val="24"/>
        </w:rPr>
        <w:t>. International</w:t>
      </w:r>
      <w:r w:rsidR="00660C88">
        <w:rPr>
          <w:rFonts w:eastAsia="Calibri" w:cs="Times New Roman"/>
          <w:sz w:val="24"/>
          <w:szCs w:val="24"/>
        </w:rPr>
        <w:t xml:space="preserve">ly, </w:t>
      </w:r>
      <w:r w:rsidR="001C113B">
        <w:rPr>
          <w:rFonts w:eastAsia="Calibri" w:cs="Times New Roman"/>
          <w:sz w:val="24"/>
          <w:szCs w:val="24"/>
        </w:rPr>
        <w:t xml:space="preserve">standards </w:t>
      </w:r>
      <w:r w:rsidR="008F2F07" w:rsidRPr="00660C88">
        <w:rPr>
          <w:rFonts w:eastAsia="Calibri" w:cs="Times New Roman"/>
          <w:sz w:val="24"/>
          <w:szCs w:val="24"/>
        </w:rPr>
        <w:t>for foundation programmes</w:t>
      </w:r>
      <w:r w:rsidR="00925277" w:rsidRPr="00660C88">
        <w:rPr>
          <w:rFonts w:eastAsia="Calibri" w:cs="Times New Roman"/>
          <w:sz w:val="24"/>
          <w:szCs w:val="24"/>
        </w:rPr>
        <w:t xml:space="preserve"> </w:t>
      </w:r>
      <w:r w:rsidR="005C4A99">
        <w:rPr>
          <w:rFonts w:eastAsia="Calibri" w:cs="Times New Roman"/>
          <w:sz w:val="24"/>
          <w:szCs w:val="24"/>
        </w:rPr>
        <w:t xml:space="preserve">are available </w:t>
      </w:r>
      <w:r w:rsidR="00925277" w:rsidRPr="00660C88">
        <w:rPr>
          <w:rFonts w:eastAsia="Calibri" w:cs="Times New Roman"/>
          <w:sz w:val="24"/>
          <w:szCs w:val="24"/>
        </w:rPr>
        <w:t>which could provide useful reference points in developing national standards</w:t>
      </w:r>
      <w:r w:rsidR="008F2F07" w:rsidRPr="00660C88">
        <w:rPr>
          <w:rFonts w:eastAsia="Calibri" w:cs="Times New Roman"/>
          <w:sz w:val="24"/>
          <w:szCs w:val="24"/>
        </w:rPr>
        <w:t xml:space="preserve">, see for example </w:t>
      </w:r>
      <w:r w:rsidR="00925277" w:rsidRPr="00660C88">
        <w:rPr>
          <w:rFonts w:eastAsia="Calibri" w:cs="Times New Roman"/>
          <w:sz w:val="24"/>
          <w:szCs w:val="24"/>
        </w:rPr>
        <w:t xml:space="preserve">the work of </w:t>
      </w:r>
      <w:r w:rsidR="008F2F07" w:rsidRPr="00660C88">
        <w:rPr>
          <w:rFonts w:eastAsia="Calibri" w:cs="Times New Roman"/>
          <w:sz w:val="24"/>
          <w:szCs w:val="24"/>
        </w:rPr>
        <w:t xml:space="preserve">BALEAP (British Association of English for Academic Purposes) and </w:t>
      </w:r>
      <w:r w:rsidR="00BA50EA">
        <w:rPr>
          <w:rFonts w:eastAsia="Calibri" w:cs="Times New Roman"/>
          <w:sz w:val="24"/>
          <w:szCs w:val="24"/>
        </w:rPr>
        <w:t>IATEFL</w:t>
      </w:r>
      <w:r w:rsidR="00523ABD">
        <w:rPr>
          <w:rFonts w:eastAsia="Calibri" w:cs="Times New Roman"/>
          <w:sz w:val="24"/>
          <w:szCs w:val="24"/>
        </w:rPr>
        <w:t xml:space="preserve"> </w:t>
      </w:r>
      <w:r w:rsidR="00BA50EA">
        <w:rPr>
          <w:rFonts w:eastAsia="Calibri" w:cs="Times New Roman"/>
          <w:sz w:val="24"/>
          <w:szCs w:val="24"/>
        </w:rPr>
        <w:t>(</w:t>
      </w:r>
      <w:r w:rsidR="00523ABD">
        <w:rPr>
          <w:rFonts w:eastAsia="Calibri" w:cs="Times New Roman"/>
          <w:sz w:val="24"/>
          <w:szCs w:val="24"/>
        </w:rPr>
        <w:t xml:space="preserve">International Association </w:t>
      </w:r>
      <w:r w:rsidR="00BA50EA">
        <w:rPr>
          <w:rFonts w:eastAsia="Calibri" w:cs="Times New Roman"/>
          <w:sz w:val="24"/>
          <w:szCs w:val="24"/>
        </w:rPr>
        <w:t>of Teachers of English as a Foreign Language)</w:t>
      </w:r>
    </w:p>
    <w:p w:rsidR="00660C88" w:rsidRPr="00022CB8" w:rsidRDefault="005C4A99" w:rsidP="000C2623">
      <w:pPr>
        <w:spacing w:line="360" w:lineRule="auto"/>
        <w:rPr>
          <w:i/>
          <w:color w:val="365F91" w:themeColor="accent1" w:themeShade="BF"/>
          <w:sz w:val="24"/>
          <w:szCs w:val="24"/>
        </w:rPr>
      </w:pPr>
      <w:r w:rsidRPr="00022CB8">
        <w:rPr>
          <w:i/>
          <w:color w:val="365F91" w:themeColor="accent1" w:themeShade="BF"/>
          <w:sz w:val="24"/>
          <w:szCs w:val="24"/>
        </w:rPr>
        <w:t xml:space="preserve">International </w:t>
      </w:r>
      <w:r w:rsidR="00660C88" w:rsidRPr="00022CB8">
        <w:rPr>
          <w:i/>
          <w:color w:val="365F91" w:themeColor="accent1" w:themeShade="BF"/>
          <w:sz w:val="24"/>
          <w:szCs w:val="24"/>
        </w:rPr>
        <w:t xml:space="preserve">Student </w:t>
      </w:r>
      <w:r w:rsidRPr="00022CB8">
        <w:rPr>
          <w:i/>
          <w:color w:val="365F91" w:themeColor="accent1" w:themeShade="BF"/>
          <w:sz w:val="24"/>
          <w:szCs w:val="24"/>
        </w:rPr>
        <w:t xml:space="preserve">Satisfaction and </w:t>
      </w:r>
      <w:r w:rsidR="00660C88" w:rsidRPr="00022CB8">
        <w:rPr>
          <w:i/>
          <w:color w:val="365F91" w:themeColor="accent1" w:themeShade="BF"/>
          <w:sz w:val="24"/>
          <w:szCs w:val="24"/>
        </w:rPr>
        <w:t>Engagement</w:t>
      </w:r>
    </w:p>
    <w:p w:rsidR="00D2698E" w:rsidRPr="000C2623" w:rsidRDefault="00660C88" w:rsidP="000C2623">
      <w:pPr>
        <w:spacing w:line="360" w:lineRule="auto"/>
        <w:rPr>
          <w:sz w:val="24"/>
          <w:szCs w:val="24"/>
        </w:rPr>
      </w:pPr>
      <w:r>
        <w:rPr>
          <w:sz w:val="24"/>
          <w:szCs w:val="24"/>
        </w:rPr>
        <w:t xml:space="preserve"> </w:t>
      </w:r>
      <w:r w:rsidR="00E8209D" w:rsidRPr="000C2623">
        <w:rPr>
          <w:sz w:val="24"/>
          <w:szCs w:val="24"/>
        </w:rPr>
        <w:t xml:space="preserve">The </w:t>
      </w:r>
      <w:hyperlink r:id="rId10" w:history="1">
        <w:r w:rsidR="00E8209D" w:rsidRPr="000C2623">
          <w:rPr>
            <w:rStyle w:val="Hyperlink"/>
            <w:sz w:val="24"/>
            <w:szCs w:val="24"/>
          </w:rPr>
          <w:t>N</w:t>
        </w:r>
        <w:r w:rsidR="007F36B6" w:rsidRPr="000C2623">
          <w:rPr>
            <w:rStyle w:val="Hyperlink"/>
            <w:sz w:val="24"/>
            <w:szCs w:val="24"/>
          </w:rPr>
          <w:t xml:space="preserve">ational </w:t>
        </w:r>
        <w:r w:rsidR="00E8209D" w:rsidRPr="000C2623">
          <w:rPr>
            <w:rStyle w:val="Hyperlink"/>
            <w:sz w:val="24"/>
            <w:szCs w:val="24"/>
          </w:rPr>
          <w:t>Student S</w:t>
        </w:r>
        <w:r w:rsidR="00126D6A" w:rsidRPr="000C2623">
          <w:rPr>
            <w:rStyle w:val="Hyperlink"/>
            <w:sz w:val="24"/>
            <w:szCs w:val="24"/>
          </w:rPr>
          <w:t>urvey</w:t>
        </w:r>
      </w:hyperlink>
      <w:r w:rsidR="00126D6A" w:rsidRPr="000C2623">
        <w:rPr>
          <w:sz w:val="24"/>
          <w:szCs w:val="24"/>
        </w:rPr>
        <w:t xml:space="preserve"> piloted in 2013 may provide potential to generate information and knowledge about international student</w:t>
      </w:r>
      <w:r w:rsidR="00E8209D" w:rsidRPr="000C2623">
        <w:rPr>
          <w:sz w:val="24"/>
          <w:szCs w:val="24"/>
        </w:rPr>
        <w:t>’</w:t>
      </w:r>
      <w:r w:rsidR="00126D6A" w:rsidRPr="000C2623">
        <w:rPr>
          <w:sz w:val="24"/>
          <w:szCs w:val="24"/>
        </w:rPr>
        <w:t xml:space="preserve">s experience of higher education in Ireland. </w:t>
      </w:r>
      <w:r w:rsidR="00E8209D" w:rsidRPr="000C2623">
        <w:rPr>
          <w:sz w:val="24"/>
          <w:szCs w:val="24"/>
        </w:rPr>
        <w:t>The Australian Government</w:t>
      </w:r>
      <w:r w:rsidR="00E8209D" w:rsidRPr="000C2623">
        <w:rPr>
          <w:rStyle w:val="FootnoteReference"/>
          <w:sz w:val="24"/>
          <w:szCs w:val="24"/>
        </w:rPr>
        <w:footnoteReference w:id="5"/>
      </w:r>
      <w:r w:rsidR="00E8209D" w:rsidRPr="000C2623">
        <w:rPr>
          <w:sz w:val="24"/>
          <w:szCs w:val="24"/>
        </w:rPr>
        <w:t xml:space="preserve"> </w:t>
      </w:r>
      <w:r w:rsidR="00126D6A" w:rsidRPr="000C2623">
        <w:rPr>
          <w:sz w:val="24"/>
          <w:szCs w:val="24"/>
        </w:rPr>
        <w:t>administer</w:t>
      </w:r>
      <w:r w:rsidR="00E8209D" w:rsidRPr="000C2623">
        <w:rPr>
          <w:sz w:val="24"/>
          <w:szCs w:val="24"/>
        </w:rPr>
        <w:t>s</w:t>
      </w:r>
      <w:r w:rsidR="00126D6A" w:rsidRPr="000C2623">
        <w:rPr>
          <w:sz w:val="24"/>
          <w:szCs w:val="24"/>
        </w:rPr>
        <w:t xml:space="preserve"> a survey of onshore international student satisfaction in higher education, further education </w:t>
      </w:r>
      <w:r w:rsidR="007F36B6" w:rsidRPr="000C2623">
        <w:rPr>
          <w:sz w:val="24"/>
          <w:szCs w:val="24"/>
        </w:rPr>
        <w:t xml:space="preserve">and </w:t>
      </w:r>
      <w:r w:rsidR="00126D6A" w:rsidRPr="000C2623">
        <w:rPr>
          <w:sz w:val="24"/>
          <w:szCs w:val="24"/>
        </w:rPr>
        <w:t xml:space="preserve">English language sectors. The Australian survey is modelled on the </w:t>
      </w:r>
      <w:hyperlink r:id="rId11" w:history="1">
        <w:r w:rsidR="00126D6A" w:rsidRPr="000C2623">
          <w:rPr>
            <w:rStyle w:val="Hyperlink"/>
            <w:sz w:val="24"/>
            <w:szCs w:val="24"/>
          </w:rPr>
          <w:t>International Student Barometer</w:t>
        </w:r>
      </w:hyperlink>
      <w:r w:rsidR="00126D6A" w:rsidRPr="000C2623">
        <w:rPr>
          <w:sz w:val="24"/>
          <w:szCs w:val="24"/>
        </w:rPr>
        <w:t xml:space="preserve"> surve</w:t>
      </w:r>
      <w:r w:rsidR="00E8209D" w:rsidRPr="000C2623">
        <w:rPr>
          <w:sz w:val="24"/>
          <w:szCs w:val="24"/>
        </w:rPr>
        <w:t xml:space="preserve">y which Institutions can use to generate bespoke feedback from their international students. </w:t>
      </w:r>
    </w:p>
    <w:p w:rsidR="00660C88" w:rsidRDefault="00660C88" w:rsidP="000C2623">
      <w:pPr>
        <w:spacing w:line="360" w:lineRule="auto"/>
        <w:rPr>
          <w:sz w:val="24"/>
          <w:szCs w:val="24"/>
        </w:rPr>
      </w:pPr>
    </w:p>
    <w:p w:rsidR="008248E0" w:rsidRDefault="008248E0" w:rsidP="000C2623">
      <w:pPr>
        <w:spacing w:line="360" w:lineRule="auto"/>
        <w:rPr>
          <w:sz w:val="24"/>
          <w:szCs w:val="24"/>
        </w:rPr>
      </w:pPr>
    </w:p>
    <w:p w:rsidR="008248E0" w:rsidRPr="000C2623" w:rsidRDefault="008248E0" w:rsidP="000C2623">
      <w:pPr>
        <w:spacing w:line="360" w:lineRule="auto"/>
        <w:rPr>
          <w:sz w:val="24"/>
          <w:szCs w:val="24"/>
        </w:rPr>
      </w:pPr>
    </w:p>
    <w:p w:rsidR="00E815C3" w:rsidRPr="00022CB8" w:rsidRDefault="00596068" w:rsidP="000C2623">
      <w:pPr>
        <w:pStyle w:val="ListParagraph"/>
        <w:numPr>
          <w:ilvl w:val="0"/>
          <w:numId w:val="8"/>
        </w:numPr>
        <w:spacing w:line="360" w:lineRule="auto"/>
        <w:rPr>
          <w:b/>
          <w:color w:val="365F91" w:themeColor="accent1" w:themeShade="BF"/>
          <w:sz w:val="32"/>
          <w:szCs w:val="32"/>
        </w:rPr>
      </w:pPr>
      <w:r w:rsidRPr="00022CB8">
        <w:rPr>
          <w:b/>
          <w:color w:val="365F91" w:themeColor="accent1" w:themeShade="BF"/>
          <w:sz w:val="32"/>
          <w:szCs w:val="32"/>
        </w:rPr>
        <w:t>Interpretations</w:t>
      </w:r>
      <w:r w:rsidR="00660C88" w:rsidRPr="00022CB8">
        <w:rPr>
          <w:b/>
          <w:color w:val="365F91" w:themeColor="accent1" w:themeShade="BF"/>
          <w:sz w:val="32"/>
          <w:szCs w:val="32"/>
        </w:rPr>
        <w:t>,</w:t>
      </w:r>
      <w:r w:rsidRPr="00022CB8">
        <w:rPr>
          <w:b/>
          <w:color w:val="365F91" w:themeColor="accent1" w:themeShade="BF"/>
          <w:sz w:val="32"/>
          <w:szCs w:val="32"/>
        </w:rPr>
        <w:t xml:space="preserve"> Data and Research</w:t>
      </w:r>
      <w:r w:rsidR="00E815C3" w:rsidRPr="00022CB8">
        <w:rPr>
          <w:b/>
          <w:color w:val="365F91" w:themeColor="accent1" w:themeShade="BF"/>
          <w:sz w:val="32"/>
          <w:szCs w:val="32"/>
        </w:rPr>
        <w:t xml:space="preserve"> </w:t>
      </w:r>
    </w:p>
    <w:p w:rsidR="00E815C3" w:rsidRDefault="00660C88" w:rsidP="000C2623">
      <w:pPr>
        <w:spacing w:line="360" w:lineRule="auto"/>
        <w:rPr>
          <w:sz w:val="24"/>
          <w:szCs w:val="24"/>
        </w:rPr>
      </w:pPr>
      <w:r>
        <w:rPr>
          <w:sz w:val="24"/>
          <w:szCs w:val="24"/>
        </w:rPr>
        <w:t xml:space="preserve">Interpretations of key concepts should </w:t>
      </w:r>
      <w:r w:rsidR="00C6776A">
        <w:rPr>
          <w:sz w:val="24"/>
          <w:szCs w:val="24"/>
        </w:rPr>
        <w:t xml:space="preserve">accommodate developments in practice so that policy development does not become detached from or lag behind practice. </w:t>
      </w:r>
    </w:p>
    <w:p w:rsidR="00C6776A" w:rsidRPr="000C2623" w:rsidRDefault="00E638A6" w:rsidP="000C2623">
      <w:pPr>
        <w:spacing w:line="360" w:lineRule="auto"/>
        <w:rPr>
          <w:sz w:val="24"/>
          <w:szCs w:val="24"/>
        </w:rPr>
      </w:pPr>
      <w:r>
        <w:rPr>
          <w:sz w:val="24"/>
          <w:szCs w:val="24"/>
        </w:rPr>
        <w:t>Robust d</w:t>
      </w:r>
      <w:r w:rsidR="00C6776A">
        <w:rPr>
          <w:sz w:val="24"/>
          <w:szCs w:val="24"/>
        </w:rPr>
        <w:t>ata</w:t>
      </w:r>
      <w:r>
        <w:rPr>
          <w:sz w:val="24"/>
          <w:szCs w:val="24"/>
        </w:rPr>
        <w:t xml:space="preserve"> collection</w:t>
      </w:r>
      <w:r w:rsidR="00C6776A">
        <w:rPr>
          <w:sz w:val="24"/>
          <w:szCs w:val="24"/>
        </w:rPr>
        <w:t xml:space="preserve"> and research require standard classifications so that knowledge can be accumulated over time, trends can be identified and international comparisons can be </w:t>
      </w:r>
      <w:r>
        <w:rPr>
          <w:sz w:val="24"/>
          <w:szCs w:val="24"/>
        </w:rPr>
        <w:t>considered. Timely and</w:t>
      </w:r>
      <w:r w:rsidR="00C6776A">
        <w:rPr>
          <w:sz w:val="24"/>
          <w:szCs w:val="24"/>
        </w:rPr>
        <w:t xml:space="preserve"> relevant knowledge</w:t>
      </w:r>
      <w:r>
        <w:rPr>
          <w:sz w:val="24"/>
          <w:szCs w:val="24"/>
        </w:rPr>
        <w:t xml:space="preserve"> and information</w:t>
      </w:r>
      <w:r w:rsidR="00C6776A">
        <w:rPr>
          <w:sz w:val="24"/>
          <w:szCs w:val="24"/>
        </w:rPr>
        <w:t xml:space="preserve"> </w:t>
      </w:r>
      <w:r>
        <w:rPr>
          <w:sz w:val="24"/>
          <w:szCs w:val="24"/>
        </w:rPr>
        <w:t xml:space="preserve">should inform </w:t>
      </w:r>
      <w:r w:rsidR="00C6776A">
        <w:rPr>
          <w:sz w:val="24"/>
          <w:szCs w:val="24"/>
        </w:rPr>
        <w:t xml:space="preserve">policy making. </w:t>
      </w:r>
      <w:r>
        <w:rPr>
          <w:sz w:val="24"/>
          <w:szCs w:val="24"/>
        </w:rPr>
        <w:t>The lexicon of international education requires p</w:t>
      </w:r>
      <w:r w:rsidR="0040067B">
        <w:rPr>
          <w:sz w:val="24"/>
          <w:szCs w:val="24"/>
        </w:rPr>
        <w:t xml:space="preserve">recision and should be compatible </w:t>
      </w:r>
      <w:r>
        <w:rPr>
          <w:sz w:val="24"/>
          <w:szCs w:val="24"/>
        </w:rPr>
        <w:t>with dynamic regulatory, technological</w:t>
      </w:r>
      <w:r w:rsidR="0040067B">
        <w:rPr>
          <w:sz w:val="24"/>
          <w:szCs w:val="24"/>
        </w:rPr>
        <w:t>, economic</w:t>
      </w:r>
      <w:r>
        <w:rPr>
          <w:sz w:val="24"/>
          <w:szCs w:val="24"/>
        </w:rPr>
        <w:t xml:space="preserve"> and </w:t>
      </w:r>
      <w:r w:rsidR="0040067B">
        <w:rPr>
          <w:sz w:val="24"/>
          <w:szCs w:val="24"/>
        </w:rPr>
        <w:t xml:space="preserve">social contexts in which the practice of international education takes place. </w:t>
      </w:r>
      <w:r w:rsidR="0072774B">
        <w:rPr>
          <w:sz w:val="24"/>
          <w:szCs w:val="24"/>
        </w:rPr>
        <w:t xml:space="preserve"> The usage of the terms </w:t>
      </w:r>
      <w:r w:rsidR="0072774B" w:rsidRPr="0072774B">
        <w:rPr>
          <w:i/>
          <w:sz w:val="24"/>
          <w:szCs w:val="24"/>
        </w:rPr>
        <w:t>international student</w:t>
      </w:r>
      <w:r w:rsidR="0072774B">
        <w:rPr>
          <w:sz w:val="24"/>
          <w:szCs w:val="24"/>
        </w:rPr>
        <w:t xml:space="preserve"> and </w:t>
      </w:r>
      <w:r w:rsidR="0072774B" w:rsidRPr="0072774B">
        <w:rPr>
          <w:i/>
          <w:sz w:val="24"/>
          <w:szCs w:val="24"/>
        </w:rPr>
        <w:t>trans-national education</w:t>
      </w:r>
      <w:r w:rsidR="004047C6">
        <w:rPr>
          <w:sz w:val="24"/>
          <w:szCs w:val="24"/>
        </w:rPr>
        <w:t xml:space="preserve"> provide two illustrative examples of the inconsistency between concept, policy and practice. </w:t>
      </w:r>
    </w:p>
    <w:p w:rsidR="00E815C3" w:rsidRPr="00022CB8" w:rsidRDefault="00E815C3" w:rsidP="000C2623">
      <w:pPr>
        <w:spacing w:line="360" w:lineRule="auto"/>
        <w:rPr>
          <w:i/>
          <w:color w:val="365F91" w:themeColor="accent1" w:themeShade="BF"/>
          <w:sz w:val="24"/>
          <w:szCs w:val="24"/>
        </w:rPr>
      </w:pPr>
      <w:r w:rsidRPr="00022CB8">
        <w:rPr>
          <w:i/>
          <w:color w:val="365F91" w:themeColor="accent1" w:themeShade="BF"/>
          <w:sz w:val="24"/>
          <w:szCs w:val="24"/>
        </w:rPr>
        <w:t>International Student</w:t>
      </w:r>
    </w:p>
    <w:p w:rsidR="003E396B" w:rsidRPr="000C2623" w:rsidRDefault="0040067B" w:rsidP="000C2623">
      <w:pPr>
        <w:autoSpaceDE w:val="0"/>
        <w:autoSpaceDN w:val="0"/>
        <w:adjustRightInd w:val="0"/>
        <w:spacing w:after="0" w:line="360" w:lineRule="auto"/>
        <w:rPr>
          <w:rFonts w:cs="Helvetica-Light"/>
          <w:sz w:val="24"/>
          <w:szCs w:val="24"/>
        </w:rPr>
      </w:pPr>
      <w:r>
        <w:rPr>
          <w:rFonts w:cs="Helvetica-Light"/>
          <w:sz w:val="24"/>
          <w:szCs w:val="24"/>
        </w:rPr>
        <w:t>For the purposes of Ireland’s i</w:t>
      </w:r>
      <w:r w:rsidR="00E815C3" w:rsidRPr="000C2623">
        <w:rPr>
          <w:rFonts w:cs="Helvetica-Light"/>
          <w:sz w:val="24"/>
          <w:szCs w:val="24"/>
        </w:rPr>
        <w:t>nternational education strategy, ‘international students are broadly defined as students normally domiciled outside the jurisdiction who have come to Ireland specifically to undertake a programme of education.’ (p30)</w:t>
      </w:r>
    </w:p>
    <w:p w:rsidR="00F7007C" w:rsidRPr="000C2623" w:rsidRDefault="00F7007C" w:rsidP="000C2623">
      <w:pPr>
        <w:autoSpaceDE w:val="0"/>
        <w:autoSpaceDN w:val="0"/>
        <w:adjustRightInd w:val="0"/>
        <w:spacing w:after="0" w:line="360" w:lineRule="auto"/>
        <w:rPr>
          <w:rFonts w:cs="Helvetica-Light"/>
          <w:sz w:val="24"/>
          <w:szCs w:val="24"/>
        </w:rPr>
      </w:pPr>
    </w:p>
    <w:p w:rsidR="00A83CF0" w:rsidRPr="000C2623" w:rsidRDefault="0040067B" w:rsidP="000C2623">
      <w:pPr>
        <w:autoSpaceDE w:val="0"/>
        <w:autoSpaceDN w:val="0"/>
        <w:adjustRightInd w:val="0"/>
        <w:spacing w:after="0" w:line="360" w:lineRule="auto"/>
        <w:rPr>
          <w:rFonts w:cs="Helvetica-Light"/>
          <w:sz w:val="24"/>
          <w:szCs w:val="24"/>
        </w:rPr>
      </w:pPr>
      <w:r>
        <w:rPr>
          <w:rFonts w:cs="Helvetica-Light"/>
          <w:sz w:val="24"/>
          <w:szCs w:val="24"/>
        </w:rPr>
        <w:t xml:space="preserve">Section 2 of the </w:t>
      </w:r>
      <w:r w:rsidR="00AF15EA" w:rsidRPr="000C2623">
        <w:rPr>
          <w:rFonts w:cs="Helvetica-Light"/>
          <w:sz w:val="24"/>
          <w:szCs w:val="24"/>
        </w:rPr>
        <w:t xml:space="preserve">Qualifications and Quality Assurance </w:t>
      </w:r>
      <w:r w:rsidR="00431C90">
        <w:rPr>
          <w:rFonts w:cs="Helvetica-Light"/>
          <w:sz w:val="24"/>
          <w:szCs w:val="24"/>
        </w:rPr>
        <w:t xml:space="preserve">(Education and Training) </w:t>
      </w:r>
      <w:r w:rsidR="00AF15EA" w:rsidRPr="000C2623">
        <w:rPr>
          <w:rFonts w:cs="Helvetica-Light"/>
          <w:sz w:val="24"/>
          <w:szCs w:val="24"/>
        </w:rPr>
        <w:t>Act 2012</w:t>
      </w:r>
      <w:r w:rsidR="00AF15EA" w:rsidRPr="000C2623">
        <w:rPr>
          <w:rStyle w:val="FootnoteReference"/>
          <w:rFonts w:cs="Helvetica-Light"/>
          <w:sz w:val="24"/>
          <w:szCs w:val="24"/>
        </w:rPr>
        <w:footnoteReference w:id="6"/>
      </w:r>
      <w:r w:rsidR="00AF15EA" w:rsidRPr="000C2623">
        <w:rPr>
          <w:rFonts w:cs="Helvetica-Light"/>
          <w:sz w:val="24"/>
          <w:szCs w:val="24"/>
        </w:rPr>
        <w:t xml:space="preserve"> interprets </w:t>
      </w:r>
      <w:r>
        <w:rPr>
          <w:rFonts w:cs="Helvetica-Light"/>
          <w:sz w:val="24"/>
          <w:szCs w:val="24"/>
        </w:rPr>
        <w:t>an i</w:t>
      </w:r>
      <w:r w:rsidR="00AF15EA" w:rsidRPr="00C6776A">
        <w:rPr>
          <w:rFonts w:cs="Helvetica-Light"/>
          <w:sz w:val="24"/>
          <w:szCs w:val="24"/>
        </w:rPr>
        <w:t>nternational learner</w:t>
      </w:r>
      <w:r>
        <w:rPr>
          <w:rFonts w:cs="Helvetica-Light"/>
          <w:sz w:val="24"/>
          <w:szCs w:val="24"/>
        </w:rPr>
        <w:t xml:space="preserve"> as</w:t>
      </w:r>
      <w:r w:rsidR="00A83CF0" w:rsidRPr="000C2623">
        <w:rPr>
          <w:rFonts w:cs="Helvetica-Light"/>
          <w:sz w:val="24"/>
          <w:szCs w:val="24"/>
        </w:rPr>
        <w:t xml:space="preserve"> </w:t>
      </w:r>
      <w:r w:rsidR="00C6776A">
        <w:rPr>
          <w:rFonts w:cs="Helvetica-Light"/>
          <w:sz w:val="24"/>
          <w:szCs w:val="24"/>
        </w:rPr>
        <w:t>‘</w:t>
      </w:r>
      <w:r w:rsidR="00A83CF0" w:rsidRPr="000C2623">
        <w:rPr>
          <w:rFonts w:cs="Helvetica-Light"/>
          <w:sz w:val="24"/>
          <w:szCs w:val="24"/>
        </w:rPr>
        <w:t>a person who is not an Irish citizen but is lawfully in the State primarily to receive education and training</w:t>
      </w:r>
      <w:r w:rsidR="00C6776A">
        <w:rPr>
          <w:rFonts w:cs="Helvetica-Light"/>
          <w:sz w:val="24"/>
          <w:szCs w:val="24"/>
        </w:rPr>
        <w:t>’</w:t>
      </w:r>
      <w:r w:rsidR="00AF15EA" w:rsidRPr="000C2623">
        <w:rPr>
          <w:rFonts w:cs="Helvetica-Light"/>
          <w:sz w:val="24"/>
          <w:szCs w:val="24"/>
        </w:rPr>
        <w:t xml:space="preserve">. </w:t>
      </w:r>
    </w:p>
    <w:p w:rsidR="002D7489" w:rsidRPr="000C2623" w:rsidRDefault="002D7489" w:rsidP="000C2623">
      <w:pPr>
        <w:autoSpaceDE w:val="0"/>
        <w:autoSpaceDN w:val="0"/>
        <w:adjustRightInd w:val="0"/>
        <w:spacing w:after="0" w:line="360" w:lineRule="auto"/>
        <w:rPr>
          <w:rFonts w:cs="Helvetica-Light"/>
          <w:sz w:val="24"/>
          <w:szCs w:val="24"/>
        </w:rPr>
      </w:pPr>
    </w:p>
    <w:p w:rsidR="00CE31F3" w:rsidRPr="000C2623" w:rsidRDefault="00C6776A" w:rsidP="000C2623">
      <w:pPr>
        <w:autoSpaceDE w:val="0"/>
        <w:autoSpaceDN w:val="0"/>
        <w:adjustRightInd w:val="0"/>
        <w:spacing w:after="0" w:line="360" w:lineRule="auto"/>
        <w:rPr>
          <w:rFonts w:cs="Helvetica-Light"/>
          <w:sz w:val="24"/>
          <w:szCs w:val="24"/>
        </w:rPr>
      </w:pPr>
      <w:r>
        <w:rPr>
          <w:rFonts w:cs="Helvetica-Light"/>
          <w:sz w:val="24"/>
          <w:szCs w:val="24"/>
        </w:rPr>
        <w:t xml:space="preserve">While the State has a legitimate interest in understanding patterns of </w:t>
      </w:r>
      <w:r w:rsidR="005B6804" w:rsidRPr="000C2623">
        <w:rPr>
          <w:rFonts w:cs="Helvetica-Light"/>
          <w:sz w:val="24"/>
          <w:szCs w:val="24"/>
        </w:rPr>
        <w:t>student mobility in</w:t>
      </w:r>
      <w:r>
        <w:rPr>
          <w:rFonts w:cs="Helvetica-Light"/>
          <w:sz w:val="24"/>
          <w:szCs w:val="24"/>
        </w:rPr>
        <w:t xml:space="preserve">to Ireland, </w:t>
      </w:r>
      <w:r w:rsidR="0040067B">
        <w:rPr>
          <w:rFonts w:cs="Helvetica-Light"/>
          <w:sz w:val="24"/>
          <w:szCs w:val="24"/>
        </w:rPr>
        <w:t xml:space="preserve">these </w:t>
      </w:r>
      <w:r>
        <w:rPr>
          <w:rFonts w:cs="Helvetica-Light"/>
          <w:sz w:val="24"/>
          <w:szCs w:val="24"/>
        </w:rPr>
        <w:t>official definitions do not</w:t>
      </w:r>
      <w:r w:rsidR="00EC69B1">
        <w:rPr>
          <w:rFonts w:cs="Helvetica-Light"/>
          <w:sz w:val="24"/>
          <w:szCs w:val="24"/>
        </w:rPr>
        <w:t xml:space="preserve"> comprehend the </w:t>
      </w:r>
      <w:r w:rsidR="001F1FB5">
        <w:rPr>
          <w:rFonts w:cs="Helvetica-Light"/>
          <w:sz w:val="24"/>
          <w:szCs w:val="24"/>
        </w:rPr>
        <w:t xml:space="preserve">participation trends of international student in many </w:t>
      </w:r>
      <w:r w:rsidR="005B6804" w:rsidRPr="000C2623">
        <w:rPr>
          <w:rFonts w:cs="Helvetica-Light"/>
          <w:sz w:val="24"/>
          <w:szCs w:val="24"/>
        </w:rPr>
        <w:t>Irish based educational institutions. Significant numbers of international students in higher education institutions are offshore and patterns of student mobility suggest that growth in international stud</w:t>
      </w:r>
      <w:r w:rsidR="001F1FB5">
        <w:rPr>
          <w:rFonts w:cs="Helvetica-Light"/>
          <w:sz w:val="24"/>
          <w:szCs w:val="24"/>
        </w:rPr>
        <w:t>ent recruitment will be for home based</w:t>
      </w:r>
      <w:r w:rsidR="005B6804" w:rsidRPr="000C2623">
        <w:rPr>
          <w:rFonts w:cs="Helvetica-Light"/>
          <w:sz w:val="24"/>
          <w:szCs w:val="24"/>
        </w:rPr>
        <w:t xml:space="preserve"> rather than host country provision. Developments in ICT are likely to accelerate these </w:t>
      </w:r>
      <w:r w:rsidR="005B6804" w:rsidRPr="000C2623">
        <w:rPr>
          <w:rFonts w:cs="Helvetica-Light"/>
          <w:sz w:val="24"/>
          <w:szCs w:val="24"/>
        </w:rPr>
        <w:lastRenderedPageBreak/>
        <w:t xml:space="preserve">trends. </w:t>
      </w:r>
      <w:r w:rsidR="00C4717E" w:rsidRPr="000C2623">
        <w:rPr>
          <w:rFonts w:cs="Helvetica-Light"/>
          <w:sz w:val="24"/>
          <w:szCs w:val="24"/>
        </w:rPr>
        <w:t xml:space="preserve">Defining international students by citizenship and by their in-country status fails to take account of </w:t>
      </w:r>
      <w:r w:rsidR="001F1FB5">
        <w:rPr>
          <w:rFonts w:cs="Helvetica-Light"/>
          <w:sz w:val="24"/>
          <w:szCs w:val="24"/>
        </w:rPr>
        <w:t xml:space="preserve">these </w:t>
      </w:r>
      <w:r w:rsidR="00C4717E" w:rsidRPr="000C2623">
        <w:rPr>
          <w:rFonts w:cs="Helvetica-Light"/>
          <w:sz w:val="24"/>
          <w:szCs w:val="24"/>
        </w:rPr>
        <w:t>emerging trends and dev</w:t>
      </w:r>
      <w:r w:rsidR="001F1FB5">
        <w:rPr>
          <w:rFonts w:cs="Helvetica-Light"/>
          <w:sz w:val="24"/>
          <w:szCs w:val="24"/>
        </w:rPr>
        <w:t>elopments</w:t>
      </w:r>
      <w:r w:rsidR="00C4717E" w:rsidRPr="000C2623">
        <w:rPr>
          <w:rFonts w:cs="Helvetica-Light"/>
          <w:sz w:val="24"/>
          <w:szCs w:val="24"/>
        </w:rPr>
        <w:t xml:space="preserve"> it also presents challenges for the robustness o</w:t>
      </w:r>
      <w:r w:rsidR="001F1FB5">
        <w:rPr>
          <w:rFonts w:cs="Helvetica-Light"/>
          <w:sz w:val="24"/>
          <w:szCs w:val="24"/>
        </w:rPr>
        <w:t xml:space="preserve">f national data collections, the quality of data analysis and the validity of </w:t>
      </w:r>
      <w:r w:rsidR="00C4717E" w:rsidRPr="000C2623">
        <w:rPr>
          <w:rFonts w:cs="Helvetica-Light"/>
          <w:sz w:val="24"/>
          <w:szCs w:val="24"/>
        </w:rPr>
        <w:t xml:space="preserve">international comparisons. </w:t>
      </w:r>
    </w:p>
    <w:p w:rsidR="00903C60" w:rsidRPr="000C2623" w:rsidRDefault="00903C60" w:rsidP="000C2623">
      <w:pPr>
        <w:autoSpaceDE w:val="0"/>
        <w:autoSpaceDN w:val="0"/>
        <w:adjustRightInd w:val="0"/>
        <w:spacing w:after="0" w:line="360" w:lineRule="auto"/>
        <w:rPr>
          <w:rFonts w:cs="Helvetica-Light"/>
          <w:sz w:val="24"/>
          <w:szCs w:val="24"/>
        </w:rPr>
      </w:pPr>
    </w:p>
    <w:p w:rsidR="00903C60" w:rsidRPr="000C2623" w:rsidRDefault="00903C60" w:rsidP="000C2623">
      <w:pPr>
        <w:spacing w:before="100" w:beforeAutospacing="1" w:after="100" w:afterAutospacing="1" w:line="360" w:lineRule="auto"/>
        <w:rPr>
          <w:rFonts w:eastAsia="Times New Roman" w:cs="Times New Roman"/>
          <w:color w:val="000000"/>
          <w:sz w:val="24"/>
          <w:szCs w:val="24"/>
          <w:lang w:eastAsia="en-IE"/>
        </w:rPr>
      </w:pPr>
      <w:r w:rsidRPr="000C2623">
        <w:rPr>
          <w:rFonts w:eastAsia="Times New Roman" w:cs="Times New Roman"/>
          <w:color w:val="000000"/>
          <w:sz w:val="24"/>
          <w:szCs w:val="24"/>
          <w:lang w:eastAsia="en-IE"/>
        </w:rPr>
        <w:t>Adopted in 2006</w:t>
      </w:r>
      <w:r w:rsidR="0075189E" w:rsidRPr="000C2623">
        <w:rPr>
          <w:rStyle w:val="FootnoteReference"/>
          <w:rFonts w:eastAsia="Times New Roman" w:cs="Times New Roman"/>
          <w:color w:val="000000"/>
          <w:sz w:val="24"/>
          <w:szCs w:val="24"/>
          <w:lang w:eastAsia="en-IE"/>
        </w:rPr>
        <w:footnoteReference w:id="7"/>
      </w:r>
      <w:r w:rsidRPr="000C2623">
        <w:rPr>
          <w:rFonts w:eastAsia="Times New Roman" w:cs="Times New Roman"/>
          <w:color w:val="000000"/>
          <w:sz w:val="24"/>
          <w:szCs w:val="24"/>
          <w:lang w:eastAsia="en-IE"/>
        </w:rPr>
        <w:t xml:space="preserve">, the OECD convention is to use the term “international student” when referring to students crossing borders for the specific purpose of studying and the term “foreign student” for non-citizens enrolled at an institution of education outside their home country, but who have not necessarily crossed a border to study (therefore not strictly mobile, and cause for an over-count of actual mobility figures). </w:t>
      </w:r>
      <w:r w:rsidR="00E815C3" w:rsidRPr="000C2623">
        <w:rPr>
          <w:rFonts w:eastAsia="Times New Roman" w:cs="Times New Roman"/>
          <w:color w:val="000000"/>
          <w:sz w:val="24"/>
          <w:szCs w:val="24"/>
          <w:lang w:eastAsia="en-IE"/>
        </w:rPr>
        <w:t xml:space="preserve">The OECD </w:t>
      </w:r>
      <w:r w:rsidR="008636F0" w:rsidRPr="000C2623">
        <w:rPr>
          <w:rFonts w:eastAsia="Times New Roman" w:cs="Times New Roman"/>
          <w:color w:val="000000"/>
          <w:sz w:val="24"/>
          <w:szCs w:val="24"/>
          <w:lang w:eastAsia="en-IE"/>
        </w:rPr>
        <w:t>includes</w:t>
      </w:r>
      <w:r w:rsidR="00E815C3" w:rsidRPr="000C2623">
        <w:rPr>
          <w:rFonts w:eastAsia="Times New Roman" w:cs="Times New Roman"/>
          <w:color w:val="000000"/>
          <w:sz w:val="24"/>
          <w:szCs w:val="24"/>
          <w:lang w:eastAsia="en-IE"/>
        </w:rPr>
        <w:t xml:space="preserve"> the following characteristics in defining international students.</w:t>
      </w:r>
    </w:p>
    <w:p w:rsidR="00903C60" w:rsidRPr="000C2623" w:rsidRDefault="00903C60" w:rsidP="000C2623">
      <w:pPr>
        <w:numPr>
          <w:ilvl w:val="0"/>
          <w:numId w:val="2"/>
        </w:numPr>
        <w:spacing w:before="100" w:beforeAutospacing="1" w:after="100" w:afterAutospacing="1" w:line="360" w:lineRule="auto"/>
        <w:ind w:left="0"/>
        <w:rPr>
          <w:rFonts w:eastAsia="Times New Roman" w:cs="Times New Roman"/>
          <w:color w:val="000000"/>
          <w:sz w:val="24"/>
          <w:szCs w:val="24"/>
          <w:lang w:eastAsia="en-IE"/>
        </w:rPr>
      </w:pPr>
      <w:r w:rsidRPr="000C2623">
        <w:rPr>
          <w:rFonts w:eastAsia="Times New Roman" w:cs="Times New Roman"/>
          <w:color w:val="000000"/>
          <w:sz w:val="24"/>
          <w:szCs w:val="24"/>
          <w:lang w:eastAsia="en-IE"/>
        </w:rPr>
        <w:t xml:space="preserve">Permanent Residence: Students are considered internationally mobile if they are not permanent residents of the host country in which they pursue their studies. </w:t>
      </w:r>
    </w:p>
    <w:p w:rsidR="00903C60" w:rsidRDefault="00903C60" w:rsidP="000C2623">
      <w:pPr>
        <w:numPr>
          <w:ilvl w:val="0"/>
          <w:numId w:val="2"/>
        </w:numPr>
        <w:spacing w:before="100" w:beforeAutospacing="1" w:after="100" w:afterAutospacing="1" w:line="360" w:lineRule="auto"/>
        <w:ind w:left="0"/>
        <w:rPr>
          <w:rFonts w:eastAsia="Times New Roman" w:cs="Times New Roman"/>
          <w:color w:val="000000"/>
          <w:sz w:val="24"/>
          <w:szCs w:val="24"/>
          <w:lang w:eastAsia="en-IE"/>
        </w:rPr>
      </w:pPr>
      <w:r w:rsidRPr="000C2623">
        <w:rPr>
          <w:rFonts w:eastAsia="Times New Roman" w:cs="Times New Roman"/>
          <w:color w:val="000000"/>
          <w:sz w:val="24"/>
          <w:szCs w:val="24"/>
          <w:lang w:eastAsia="en-IE"/>
        </w:rPr>
        <w:t>Prior Education: Students are considered internationally mobile if they obtained the entry qualification to their current level of study in another country.</w:t>
      </w:r>
    </w:p>
    <w:p w:rsidR="008E37E6" w:rsidRDefault="008E37E6" w:rsidP="008E37E6">
      <w:pPr>
        <w:autoSpaceDE w:val="0"/>
        <w:autoSpaceDN w:val="0"/>
        <w:adjustRightInd w:val="0"/>
        <w:spacing w:after="0" w:line="360" w:lineRule="auto"/>
        <w:rPr>
          <w:rFonts w:cs="Calibri"/>
          <w:sz w:val="24"/>
          <w:szCs w:val="24"/>
        </w:rPr>
      </w:pPr>
      <w:r w:rsidRPr="008E37E6">
        <w:rPr>
          <w:rFonts w:cs="Calibri"/>
          <w:sz w:val="24"/>
          <w:szCs w:val="24"/>
        </w:rPr>
        <w:t>HEA collect data from higher education institutions, this includes returns on partic</w:t>
      </w:r>
      <w:r w:rsidR="009A546E">
        <w:rPr>
          <w:rFonts w:cs="Calibri"/>
          <w:sz w:val="24"/>
          <w:szCs w:val="24"/>
        </w:rPr>
        <w:t>ipation by international student</w:t>
      </w:r>
      <w:r w:rsidRPr="008E37E6">
        <w:rPr>
          <w:rFonts w:cs="Calibri"/>
          <w:sz w:val="24"/>
          <w:szCs w:val="24"/>
        </w:rPr>
        <w:t>s. Higher education institutions have i</w:t>
      </w:r>
      <w:r w:rsidR="009A546E">
        <w:rPr>
          <w:rFonts w:cs="Calibri"/>
          <w:sz w:val="24"/>
          <w:szCs w:val="24"/>
        </w:rPr>
        <w:t>nterpreted international student</w:t>
      </w:r>
      <w:r w:rsidRPr="008E37E6">
        <w:rPr>
          <w:rFonts w:cs="Calibri"/>
          <w:sz w:val="24"/>
          <w:szCs w:val="24"/>
        </w:rPr>
        <w:t>s in different ways and this has led to inconsistent returns</w:t>
      </w:r>
      <w:r>
        <w:rPr>
          <w:rFonts w:cs="Calibri"/>
          <w:sz w:val="24"/>
          <w:szCs w:val="24"/>
        </w:rPr>
        <w:t xml:space="preserve"> and </w:t>
      </w:r>
      <w:r w:rsidR="0040067B">
        <w:rPr>
          <w:rFonts w:cs="Calibri"/>
          <w:sz w:val="24"/>
          <w:szCs w:val="24"/>
        </w:rPr>
        <w:t xml:space="preserve">raises </w:t>
      </w:r>
      <w:r>
        <w:rPr>
          <w:rFonts w:cs="Calibri"/>
          <w:sz w:val="24"/>
          <w:szCs w:val="24"/>
        </w:rPr>
        <w:t xml:space="preserve">questions </w:t>
      </w:r>
      <w:r w:rsidR="0040067B">
        <w:rPr>
          <w:rFonts w:cs="Calibri"/>
          <w:sz w:val="24"/>
          <w:szCs w:val="24"/>
        </w:rPr>
        <w:t xml:space="preserve">as to </w:t>
      </w:r>
      <w:r>
        <w:rPr>
          <w:rFonts w:cs="Calibri"/>
          <w:sz w:val="24"/>
          <w:szCs w:val="24"/>
        </w:rPr>
        <w:t>the reliability of the data. There is a ne</w:t>
      </w:r>
      <w:r w:rsidR="00A73CDA">
        <w:rPr>
          <w:rFonts w:cs="Calibri"/>
          <w:sz w:val="24"/>
          <w:szCs w:val="24"/>
        </w:rPr>
        <w:t>ed for data collection agencies</w:t>
      </w:r>
      <w:r>
        <w:rPr>
          <w:rFonts w:cs="Calibri"/>
          <w:sz w:val="24"/>
          <w:szCs w:val="24"/>
        </w:rPr>
        <w:t xml:space="preserve"> to work with common interpretations of </w:t>
      </w:r>
      <w:r w:rsidR="0040067B">
        <w:rPr>
          <w:rFonts w:cs="Calibri"/>
          <w:sz w:val="24"/>
          <w:szCs w:val="24"/>
        </w:rPr>
        <w:t xml:space="preserve">the term </w:t>
      </w:r>
      <w:r>
        <w:rPr>
          <w:rFonts w:cs="Calibri"/>
          <w:sz w:val="24"/>
          <w:szCs w:val="24"/>
        </w:rPr>
        <w:t>international stude</w:t>
      </w:r>
      <w:r w:rsidR="00D71B3A">
        <w:rPr>
          <w:rFonts w:cs="Calibri"/>
          <w:sz w:val="24"/>
          <w:szCs w:val="24"/>
        </w:rPr>
        <w:t xml:space="preserve">nt so </w:t>
      </w:r>
      <w:r w:rsidR="00EF1CF7">
        <w:rPr>
          <w:rFonts w:cs="Calibri"/>
          <w:sz w:val="24"/>
          <w:szCs w:val="24"/>
        </w:rPr>
        <w:t>that institutions providing da</w:t>
      </w:r>
      <w:r w:rsidR="00D71B3A">
        <w:rPr>
          <w:rFonts w:cs="Calibri"/>
          <w:sz w:val="24"/>
          <w:szCs w:val="24"/>
        </w:rPr>
        <w:t>ta returns do so in a reliable</w:t>
      </w:r>
      <w:r w:rsidR="0040067B">
        <w:rPr>
          <w:rFonts w:cs="Calibri"/>
          <w:sz w:val="24"/>
          <w:szCs w:val="24"/>
        </w:rPr>
        <w:t xml:space="preserve"> way and agencies charged with planning and implementing policy are well informed. </w:t>
      </w:r>
    </w:p>
    <w:p w:rsidR="00EF1CF7" w:rsidRDefault="00EF1CF7" w:rsidP="008E37E6">
      <w:pPr>
        <w:autoSpaceDE w:val="0"/>
        <w:autoSpaceDN w:val="0"/>
        <w:adjustRightInd w:val="0"/>
        <w:spacing w:after="0" w:line="360" w:lineRule="auto"/>
        <w:rPr>
          <w:rFonts w:cs="Calibri"/>
          <w:sz w:val="24"/>
          <w:szCs w:val="24"/>
        </w:rPr>
      </w:pPr>
    </w:p>
    <w:p w:rsidR="008E37E6" w:rsidRPr="00EF1CF7" w:rsidRDefault="00EF1CF7" w:rsidP="00EF1CF7">
      <w:pPr>
        <w:autoSpaceDE w:val="0"/>
        <w:autoSpaceDN w:val="0"/>
        <w:adjustRightInd w:val="0"/>
        <w:spacing w:after="0" w:line="360" w:lineRule="auto"/>
        <w:rPr>
          <w:rFonts w:cs="Calibri"/>
          <w:sz w:val="24"/>
          <w:szCs w:val="24"/>
        </w:rPr>
      </w:pPr>
      <w:r>
        <w:rPr>
          <w:rFonts w:cs="Calibri"/>
          <w:sz w:val="24"/>
          <w:szCs w:val="24"/>
        </w:rPr>
        <w:t>Ireland does not collect comprehensive data on international students atten</w:t>
      </w:r>
      <w:r w:rsidR="00BA50EA">
        <w:rPr>
          <w:rFonts w:cs="Calibri"/>
          <w:sz w:val="24"/>
          <w:szCs w:val="24"/>
        </w:rPr>
        <w:t>ding English Language Teaching O</w:t>
      </w:r>
      <w:r>
        <w:rPr>
          <w:rFonts w:cs="Calibri"/>
          <w:sz w:val="24"/>
          <w:szCs w:val="24"/>
        </w:rPr>
        <w:t xml:space="preserve">rganisations. </w:t>
      </w:r>
      <w:r w:rsidR="00E54BA1">
        <w:rPr>
          <w:rFonts w:cs="Calibri"/>
          <w:sz w:val="24"/>
          <w:szCs w:val="24"/>
        </w:rPr>
        <w:t xml:space="preserve">INIS collect data on registered non-EEA students in Ireland, while Marketing English in Ireland conduct an annual survey of their member </w:t>
      </w:r>
      <w:r w:rsidR="00E54BA1">
        <w:rPr>
          <w:rFonts w:cs="Calibri"/>
          <w:sz w:val="24"/>
          <w:szCs w:val="24"/>
        </w:rPr>
        <w:lastRenderedPageBreak/>
        <w:t xml:space="preserve">organisations and extrapolate national figures based on response rates of between 60-70%. </w:t>
      </w:r>
      <w:r w:rsidR="00BA50EA">
        <w:rPr>
          <w:rFonts w:cs="Calibri"/>
          <w:sz w:val="24"/>
          <w:szCs w:val="24"/>
        </w:rPr>
        <w:t xml:space="preserve">Fáilte Ireland conduct an annual survey of ACELS recognised ELTOs. Comprehensive data on </w:t>
      </w:r>
      <w:r>
        <w:rPr>
          <w:rFonts w:cs="Calibri"/>
          <w:sz w:val="24"/>
          <w:szCs w:val="24"/>
        </w:rPr>
        <w:t>international students in Ireland primarily to lea</w:t>
      </w:r>
      <w:r w:rsidR="0040067B">
        <w:rPr>
          <w:rFonts w:cs="Calibri"/>
          <w:sz w:val="24"/>
          <w:szCs w:val="24"/>
        </w:rPr>
        <w:t>rn English</w:t>
      </w:r>
      <w:r w:rsidR="00BA50EA">
        <w:rPr>
          <w:rFonts w:cs="Calibri"/>
          <w:sz w:val="24"/>
          <w:szCs w:val="24"/>
        </w:rPr>
        <w:t xml:space="preserve"> is not available</w:t>
      </w:r>
      <w:r w:rsidR="0040067B">
        <w:rPr>
          <w:rFonts w:cs="Calibri"/>
          <w:sz w:val="24"/>
          <w:szCs w:val="24"/>
        </w:rPr>
        <w:t>. Given the significance</w:t>
      </w:r>
      <w:r>
        <w:rPr>
          <w:rFonts w:cs="Calibri"/>
          <w:sz w:val="24"/>
          <w:szCs w:val="24"/>
        </w:rPr>
        <w:t xml:space="preserve"> of the </w:t>
      </w:r>
      <w:r w:rsidR="0040067B">
        <w:rPr>
          <w:rFonts w:cs="Calibri"/>
          <w:sz w:val="24"/>
          <w:szCs w:val="24"/>
        </w:rPr>
        <w:t xml:space="preserve">ELT </w:t>
      </w:r>
      <w:r>
        <w:rPr>
          <w:rFonts w:cs="Calibri"/>
          <w:sz w:val="24"/>
          <w:szCs w:val="24"/>
        </w:rPr>
        <w:t>sector</w:t>
      </w:r>
      <w:r w:rsidR="00BA50EA">
        <w:rPr>
          <w:rFonts w:cs="Calibri"/>
          <w:sz w:val="24"/>
          <w:szCs w:val="24"/>
        </w:rPr>
        <w:t xml:space="preserve"> to national objectives for international education</w:t>
      </w:r>
      <w:r>
        <w:rPr>
          <w:rFonts w:cs="Calibri"/>
          <w:sz w:val="24"/>
          <w:szCs w:val="24"/>
        </w:rPr>
        <w:t>, this</w:t>
      </w:r>
      <w:r w:rsidR="00BA50EA">
        <w:rPr>
          <w:rFonts w:cs="Calibri"/>
          <w:sz w:val="24"/>
          <w:szCs w:val="24"/>
        </w:rPr>
        <w:t xml:space="preserve"> situation should be addressed. </w:t>
      </w:r>
    </w:p>
    <w:p w:rsidR="0072774B" w:rsidRPr="008248E0" w:rsidRDefault="0072774B" w:rsidP="008248E0">
      <w:pPr>
        <w:spacing w:before="100" w:beforeAutospacing="1" w:after="100" w:afterAutospacing="1" w:line="360" w:lineRule="auto"/>
        <w:rPr>
          <w:rFonts w:eastAsia="Times New Roman" w:cs="Times New Roman"/>
          <w:color w:val="000000"/>
          <w:sz w:val="24"/>
          <w:szCs w:val="24"/>
          <w:lang w:eastAsia="en-IE"/>
        </w:rPr>
      </w:pPr>
      <w:r>
        <w:rPr>
          <w:rFonts w:eastAsia="Times New Roman" w:cs="Times New Roman"/>
          <w:color w:val="000000"/>
          <w:sz w:val="24"/>
          <w:szCs w:val="24"/>
          <w:lang w:eastAsia="en-IE"/>
        </w:rPr>
        <w:t>In recognition of the diversity of</w:t>
      </w:r>
      <w:r w:rsidR="001F1FB5">
        <w:rPr>
          <w:rFonts w:eastAsia="Times New Roman" w:cs="Times New Roman"/>
          <w:color w:val="000000"/>
          <w:sz w:val="24"/>
          <w:szCs w:val="24"/>
          <w:lang w:eastAsia="en-IE"/>
        </w:rPr>
        <w:t xml:space="preserve"> international education</w:t>
      </w:r>
      <w:r>
        <w:rPr>
          <w:rFonts w:eastAsia="Times New Roman" w:cs="Times New Roman"/>
          <w:color w:val="000000"/>
          <w:sz w:val="24"/>
          <w:szCs w:val="24"/>
          <w:lang w:eastAsia="en-IE"/>
        </w:rPr>
        <w:t xml:space="preserve"> in practice</w:t>
      </w:r>
      <w:r w:rsidR="001F1FB5">
        <w:rPr>
          <w:rFonts w:eastAsia="Times New Roman" w:cs="Times New Roman"/>
          <w:color w:val="000000"/>
          <w:sz w:val="24"/>
          <w:szCs w:val="24"/>
          <w:lang w:eastAsia="en-IE"/>
        </w:rPr>
        <w:t xml:space="preserve"> and the heterogeneity of</w:t>
      </w:r>
      <w:r w:rsidR="00903C60" w:rsidRPr="000C2623">
        <w:rPr>
          <w:rFonts w:eastAsia="Times New Roman" w:cs="Times New Roman"/>
          <w:color w:val="000000"/>
          <w:sz w:val="24"/>
          <w:szCs w:val="24"/>
          <w:lang w:eastAsia="en-IE"/>
        </w:rPr>
        <w:t xml:space="preserve"> international student</w:t>
      </w:r>
      <w:r w:rsidR="00E815C3" w:rsidRPr="000C2623">
        <w:rPr>
          <w:rFonts w:eastAsia="Times New Roman" w:cs="Times New Roman"/>
          <w:color w:val="000000"/>
          <w:sz w:val="24"/>
          <w:szCs w:val="24"/>
          <w:lang w:eastAsia="en-IE"/>
        </w:rPr>
        <w:t>s</w:t>
      </w:r>
      <w:r w:rsidR="001F1FB5">
        <w:rPr>
          <w:rFonts w:eastAsia="Times New Roman" w:cs="Times New Roman"/>
          <w:color w:val="000000"/>
          <w:sz w:val="24"/>
          <w:szCs w:val="24"/>
          <w:lang w:eastAsia="en-IE"/>
        </w:rPr>
        <w:t>,</w:t>
      </w:r>
      <w:r w:rsidR="00903C60" w:rsidRPr="000C2623">
        <w:rPr>
          <w:rFonts w:eastAsia="Times New Roman" w:cs="Times New Roman"/>
          <w:color w:val="000000"/>
          <w:sz w:val="24"/>
          <w:szCs w:val="24"/>
          <w:lang w:eastAsia="en-IE"/>
        </w:rPr>
        <w:t xml:space="preserve"> </w:t>
      </w:r>
      <w:r w:rsidR="0040067B">
        <w:rPr>
          <w:rFonts w:eastAsia="Times New Roman" w:cs="Times New Roman"/>
          <w:color w:val="000000"/>
          <w:sz w:val="24"/>
          <w:szCs w:val="24"/>
          <w:lang w:eastAsia="en-IE"/>
        </w:rPr>
        <w:t xml:space="preserve">the </w:t>
      </w:r>
      <w:r w:rsidR="00903C60" w:rsidRPr="000C2623">
        <w:rPr>
          <w:rFonts w:eastAsia="Times New Roman" w:cs="Times New Roman"/>
          <w:color w:val="000000"/>
          <w:sz w:val="24"/>
          <w:szCs w:val="24"/>
          <w:lang w:eastAsia="en-IE"/>
        </w:rPr>
        <w:t xml:space="preserve">Qualifications and Quality Assurance Act 2012 </w:t>
      </w:r>
      <w:r w:rsidR="001F1FB5">
        <w:rPr>
          <w:rFonts w:eastAsia="Times New Roman" w:cs="Times New Roman"/>
          <w:color w:val="000000"/>
          <w:sz w:val="24"/>
          <w:szCs w:val="24"/>
          <w:lang w:eastAsia="en-IE"/>
        </w:rPr>
        <w:t>should be amended to include a more comprehensive</w:t>
      </w:r>
      <w:r w:rsidR="00E815C3" w:rsidRPr="000C2623">
        <w:rPr>
          <w:rFonts w:eastAsia="Times New Roman" w:cs="Times New Roman"/>
          <w:color w:val="000000"/>
          <w:sz w:val="24"/>
          <w:szCs w:val="24"/>
          <w:lang w:eastAsia="en-IE"/>
        </w:rPr>
        <w:t xml:space="preserve"> </w:t>
      </w:r>
      <w:r w:rsidR="00903C60" w:rsidRPr="000C2623">
        <w:rPr>
          <w:rFonts w:eastAsia="Times New Roman" w:cs="Times New Roman"/>
          <w:color w:val="000000"/>
          <w:sz w:val="24"/>
          <w:szCs w:val="24"/>
          <w:lang w:eastAsia="en-IE"/>
        </w:rPr>
        <w:t>interpre</w:t>
      </w:r>
      <w:r>
        <w:rPr>
          <w:rFonts w:eastAsia="Times New Roman" w:cs="Times New Roman"/>
          <w:color w:val="000000"/>
          <w:sz w:val="24"/>
          <w:szCs w:val="24"/>
          <w:lang w:eastAsia="en-IE"/>
        </w:rPr>
        <w:t>tation of international stude</w:t>
      </w:r>
      <w:r w:rsidR="00BA50EA">
        <w:rPr>
          <w:rFonts w:eastAsia="Times New Roman" w:cs="Times New Roman"/>
          <w:color w:val="000000"/>
          <w:sz w:val="24"/>
          <w:szCs w:val="24"/>
          <w:lang w:eastAsia="en-IE"/>
        </w:rPr>
        <w:t xml:space="preserve">nt that is </w:t>
      </w:r>
      <w:r>
        <w:rPr>
          <w:rFonts w:eastAsia="Times New Roman" w:cs="Times New Roman"/>
          <w:color w:val="000000"/>
          <w:sz w:val="24"/>
          <w:szCs w:val="24"/>
          <w:lang w:eastAsia="en-IE"/>
        </w:rPr>
        <w:t>consistent with the operating envi</w:t>
      </w:r>
      <w:r w:rsidR="00BA50EA">
        <w:rPr>
          <w:rFonts w:eastAsia="Times New Roman" w:cs="Times New Roman"/>
          <w:color w:val="000000"/>
          <w:sz w:val="24"/>
          <w:szCs w:val="24"/>
          <w:lang w:eastAsia="en-IE"/>
        </w:rPr>
        <w:t>ronment in which QQI is required</w:t>
      </w:r>
      <w:r>
        <w:rPr>
          <w:rFonts w:eastAsia="Times New Roman" w:cs="Times New Roman"/>
          <w:color w:val="000000"/>
          <w:sz w:val="24"/>
          <w:szCs w:val="24"/>
          <w:lang w:eastAsia="en-IE"/>
        </w:rPr>
        <w:t xml:space="preserve"> to regulate and </w:t>
      </w:r>
      <w:r w:rsidR="00BA50EA">
        <w:rPr>
          <w:rFonts w:eastAsia="Times New Roman" w:cs="Times New Roman"/>
          <w:color w:val="000000"/>
          <w:sz w:val="24"/>
          <w:szCs w:val="24"/>
          <w:lang w:eastAsia="en-IE"/>
        </w:rPr>
        <w:t xml:space="preserve">to </w:t>
      </w:r>
      <w:r>
        <w:rPr>
          <w:rFonts w:eastAsia="Times New Roman" w:cs="Times New Roman"/>
          <w:color w:val="000000"/>
          <w:sz w:val="24"/>
          <w:szCs w:val="24"/>
          <w:lang w:eastAsia="en-IE"/>
        </w:rPr>
        <w:t xml:space="preserve">promote international education. </w:t>
      </w:r>
    </w:p>
    <w:p w:rsidR="00E815C3" w:rsidRPr="00022CB8" w:rsidRDefault="00E815C3" w:rsidP="000C2623">
      <w:pPr>
        <w:autoSpaceDE w:val="0"/>
        <w:autoSpaceDN w:val="0"/>
        <w:adjustRightInd w:val="0"/>
        <w:spacing w:after="0" w:line="360" w:lineRule="auto"/>
        <w:rPr>
          <w:rFonts w:cs="Helvetica-Light"/>
          <w:i/>
          <w:color w:val="365F91" w:themeColor="accent1" w:themeShade="BF"/>
          <w:sz w:val="24"/>
          <w:szCs w:val="24"/>
        </w:rPr>
      </w:pPr>
      <w:r w:rsidRPr="00022CB8">
        <w:rPr>
          <w:rFonts w:cs="Helvetica-Light"/>
          <w:i/>
          <w:color w:val="365F91" w:themeColor="accent1" w:themeShade="BF"/>
          <w:sz w:val="24"/>
          <w:szCs w:val="24"/>
        </w:rPr>
        <w:t xml:space="preserve">Trans-National Education (TNE) </w:t>
      </w:r>
    </w:p>
    <w:p w:rsidR="00A24CF7" w:rsidRDefault="007F64FA" w:rsidP="000C2623">
      <w:pPr>
        <w:autoSpaceDE w:val="0"/>
        <w:autoSpaceDN w:val="0"/>
        <w:adjustRightInd w:val="0"/>
        <w:spacing w:after="0" w:line="360" w:lineRule="auto"/>
        <w:rPr>
          <w:rFonts w:cs="Helvetica-Light"/>
          <w:sz w:val="24"/>
          <w:szCs w:val="24"/>
        </w:rPr>
      </w:pPr>
      <w:r w:rsidRPr="000C2623">
        <w:rPr>
          <w:rFonts w:cs="Helvetica-Light"/>
          <w:sz w:val="24"/>
          <w:szCs w:val="24"/>
        </w:rPr>
        <w:t>The contribution of trans-national education</w:t>
      </w:r>
      <w:r w:rsidR="00C61DBB" w:rsidRPr="000C2623">
        <w:rPr>
          <w:rFonts w:cs="Helvetica-Light"/>
          <w:sz w:val="24"/>
          <w:szCs w:val="24"/>
        </w:rPr>
        <w:t xml:space="preserve"> </w:t>
      </w:r>
      <w:r w:rsidRPr="000C2623">
        <w:rPr>
          <w:rFonts w:cs="Helvetica-Light"/>
          <w:sz w:val="24"/>
          <w:szCs w:val="24"/>
        </w:rPr>
        <w:t>(TNE) to sustainable growth in int</w:t>
      </w:r>
      <w:r w:rsidR="00C61DBB" w:rsidRPr="000C2623">
        <w:rPr>
          <w:rFonts w:cs="Helvetica-Light"/>
          <w:sz w:val="24"/>
          <w:szCs w:val="24"/>
        </w:rPr>
        <w:t>ernational education is well established and continues to grow</w:t>
      </w:r>
      <w:r w:rsidRPr="000C2623">
        <w:rPr>
          <w:rFonts w:cs="Helvetica-Light"/>
          <w:sz w:val="24"/>
          <w:szCs w:val="24"/>
        </w:rPr>
        <w:t xml:space="preserve">. Enterprise Ireland data indicates that </w:t>
      </w:r>
      <w:r w:rsidR="00C61DBB" w:rsidRPr="000C2623">
        <w:rPr>
          <w:rFonts w:cs="Helvetica-Light"/>
          <w:sz w:val="24"/>
          <w:szCs w:val="24"/>
        </w:rPr>
        <w:t>in 2012</w:t>
      </w:r>
      <w:r w:rsidR="002B6F70">
        <w:rPr>
          <w:rFonts w:cs="Helvetica-Light"/>
          <w:sz w:val="24"/>
          <w:szCs w:val="24"/>
        </w:rPr>
        <w:t>,</w:t>
      </w:r>
      <w:r w:rsidR="00C61DBB" w:rsidRPr="000C2623">
        <w:rPr>
          <w:rFonts w:cs="Helvetica-Light"/>
          <w:sz w:val="24"/>
          <w:szCs w:val="24"/>
        </w:rPr>
        <w:t xml:space="preserve"> </w:t>
      </w:r>
      <w:r w:rsidRPr="000C2623">
        <w:rPr>
          <w:rFonts w:cs="Helvetica-Light"/>
          <w:sz w:val="24"/>
          <w:szCs w:val="24"/>
        </w:rPr>
        <w:t>23% of Ireland</w:t>
      </w:r>
      <w:r w:rsidR="002B6F70">
        <w:rPr>
          <w:rFonts w:cs="Helvetica-Light"/>
          <w:sz w:val="24"/>
          <w:szCs w:val="24"/>
        </w:rPr>
        <w:t>’</w:t>
      </w:r>
      <w:r w:rsidRPr="000C2623">
        <w:rPr>
          <w:rFonts w:cs="Helvetica-Light"/>
          <w:sz w:val="24"/>
          <w:szCs w:val="24"/>
        </w:rPr>
        <w:t>s international students in hi</w:t>
      </w:r>
      <w:r w:rsidR="00C61DBB" w:rsidRPr="000C2623">
        <w:rPr>
          <w:rFonts w:cs="Helvetica-Light"/>
          <w:sz w:val="24"/>
          <w:szCs w:val="24"/>
        </w:rPr>
        <w:t xml:space="preserve">gher education institutions were </w:t>
      </w:r>
      <w:r w:rsidR="001F1FB5">
        <w:rPr>
          <w:rFonts w:cs="Helvetica-Light"/>
          <w:sz w:val="24"/>
          <w:szCs w:val="24"/>
        </w:rPr>
        <w:t xml:space="preserve">located </w:t>
      </w:r>
      <w:r w:rsidRPr="000C2623">
        <w:rPr>
          <w:rFonts w:cs="Helvetica-Light"/>
          <w:sz w:val="24"/>
          <w:szCs w:val="24"/>
        </w:rPr>
        <w:t xml:space="preserve">offshore. </w:t>
      </w:r>
      <w:r w:rsidR="00C61DBB" w:rsidRPr="000C2623">
        <w:rPr>
          <w:rFonts w:cs="Helvetica-Light"/>
          <w:sz w:val="24"/>
          <w:szCs w:val="24"/>
        </w:rPr>
        <w:t xml:space="preserve">In the UK </w:t>
      </w:r>
      <w:r w:rsidR="00C61DBB" w:rsidRPr="000C2623">
        <w:rPr>
          <w:sz w:val="24"/>
          <w:szCs w:val="24"/>
          <w:lang w:val="en"/>
        </w:rPr>
        <w:t>t</w:t>
      </w:r>
      <w:r w:rsidR="00764678" w:rsidRPr="000C2623">
        <w:rPr>
          <w:sz w:val="24"/>
          <w:szCs w:val="24"/>
          <w:lang w:val="en"/>
        </w:rPr>
        <w:t>he number of students currently undertaking UK HE qualifications outside the UK is higher than the number of international students in the UK</w:t>
      </w:r>
      <w:r w:rsidR="00C61DBB" w:rsidRPr="000C2623">
        <w:rPr>
          <w:sz w:val="24"/>
          <w:szCs w:val="24"/>
          <w:lang w:val="en"/>
        </w:rPr>
        <w:t xml:space="preserve">. </w:t>
      </w:r>
      <w:r w:rsidR="000A311D" w:rsidRPr="000C2623">
        <w:rPr>
          <w:rFonts w:cs="Helvetica-Light"/>
          <w:sz w:val="24"/>
          <w:szCs w:val="24"/>
        </w:rPr>
        <w:t xml:space="preserve">Institutional mobility is becoming as important as student mobility as countries compete to recruit students globally. </w:t>
      </w:r>
    </w:p>
    <w:p w:rsidR="00431C90" w:rsidRPr="000C2623" w:rsidRDefault="00431C90" w:rsidP="000C2623">
      <w:pPr>
        <w:autoSpaceDE w:val="0"/>
        <w:autoSpaceDN w:val="0"/>
        <w:adjustRightInd w:val="0"/>
        <w:spacing w:after="0" w:line="360" w:lineRule="auto"/>
        <w:rPr>
          <w:rFonts w:cs="Helvetica-Light"/>
          <w:sz w:val="24"/>
          <w:szCs w:val="24"/>
        </w:rPr>
      </w:pPr>
    </w:p>
    <w:p w:rsidR="00A24CF7" w:rsidRPr="000C2623" w:rsidRDefault="00A24CF7" w:rsidP="000C2623">
      <w:pPr>
        <w:autoSpaceDE w:val="0"/>
        <w:autoSpaceDN w:val="0"/>
        <w:adjustRightInd w:val="0"/>
        <w:spacing w:after="0" w:line="360" w:lineRule="auto"/>
        <w:rPr>
          <w:rFonts w:cs="Helvetica-Light"/>
          <w:sz w:val="24"/>
          <w:szCs w:val="24"/>
        </w:rPr>
      </w:pPr>
      <w:r w:rsidRPr="000C2623">
        <w:rPr>
          <w:rFonts w:cs="Helvetica-Light"/>
          <w:sz w:val="24"/>
          <w:szCs w:val="24"/>
        </w:rPr>
        <w:t xml:space="preserve">The rapid increase in demand for TNE coupled with the complexity of activities involved and the geographical distances involved present challenges to quality assurance agencies especially if quality assurance processes are weighted towards domestic and in </w:t>
      </w:r>
      <w:r w:rsidR="001F1FB5">
        <w:rPr>
          <w:rFonts w:cs="Helvetica-Light"/>
          <w:sz w:val="24"/>
          <w:szCs w:val="24"/>
        </w:rPr>
        <w:t>house provision. It is important</w:t>
      </w:r>
      <w:r w:rsidRPr="000C2623">
        <w:rPr>
          <w:rFonts w:cs="Helvetica-Light"/>
          <w:sz w:val="24"/>
          <w:szCs w:val="24"/>
        </w:rPr>
        <w:t xml:space="preserve"> that TNE activity is reviewed with a level of scrutiny that is sufficient to assure the quality of provision. </w:t>
      </w:r>
      <w:r w:rsidR="00B47A98" w:rsidRPr="000C2623">
        <w:rPr>
          <w:rFonts w:cs="Helvetica-Light"/>
          <w:sz w:val="24"/>
          <w:szCs w:val="24"/>
        </w:rPr>
        <w:t>The Quality Assurance Agency (QAA) in the UK recently completed a review of transnational education in mainland China</w:t>
      </w:r>
      <w:r w:rsidR="00B47A98" w:rsidRPr="000C2623">
        <w:rPr>
          <w:rStyle w:val="FootnoteReference"/>
          <w:rFonts w:cs="Helvetica-Light"/>
          <w:sz w:val="24"/>
          <w:szCs w:val="24"/>
        </w:rPr>
        <w:footnoteReference w:id="8"/>
      </w:r>
      <w:r w:rsidRPr="000C2623">
        <w:rPr>
          <w:rFonts w:cs="Helvetica-Light"/>
          <w:sz w:val="24"/>
          <w:szCs w:val="24"/>
        </w:rPr>
        <w:t xml:space="preserve"> </w:t>
      </w:r>
      <w:r w:rsidR="00B47A98" w:rsidRPr="000C2623">
        <w:rPr>
          <w:rFonts w:cs="Helvetica-Light"/>
          <w:sz w:val="24"/>
          <w:szCs w:val="24"/>
        </w:rPr>
        <w:t>The review identified three questions for quality assurance agencies</w:t>
      </w:r>
    </w:p>
    <w:p w:rsidR="00B47A98" w:rsidRPr="000C2623" w:rsidRDefault="00B47A98" w:rsidP="000C2623">
      <w:pPr>
        <w:pStyle w:val="ListParagraph"/>
        <w:numPr>
          <w:ilvl w:val="0"/>
          <w:numId w:val="1"/>
        </w:numPr>
        <w:autoSpaceDE w:val="0"/>
        <w:autoSpaceDN w:val="0"/>
        <w:adjustRightInd w:val="0"/>
        <w:spacing w:after="0" w:line="360" w:lineRule="auto"/>
        <w:rPr>
          <w:rFonts w:cs="Helvetica-Light"/>
          <w:sz w:val="24"/>
          <w:szCs w:val="24"/>
        </w:rPr>
      </w:pPr>
      <w:r w:rsidRPr="000C2623">
        <w:rPr>
          <w:rFonts w:cs="Helvetica-Light"/>
          <w:sz w:val="24"/>
          <w:szCs w:val="24"/>
        </w:rPr>
        <w:t>How to deal with the variety of types of TNE in a cost effective way?</w:t>
      </w:r>
    </w:p>
    <w:p w:rsidR="00B47A98" w:rsidRPr="000C2623" w:rsidRDefault="00B47A98" w:rsidP="000C2623">
      <w:pPr>
        <w:pStyle w:val="ListParagraph"/>
        <w:numPr>
          <w:ilvl w:val="0"/>
          <w:numId w:val="1"/>
        </w:numPr>
        <w:autoSpaceDE w:val="0"/>
        <w:autoSpaceDN w:val="0"/>
        <w:adjustRightInd w:val="0"/>
        <w:spacing w:after="0" w:line="360" w:lineRule="auto"/>
        <w:rPr>
          <w:rFonts w:cs="Helvetica-Light"/>
          <w:sz w:val="24"/>
          <w:szCs w:val="24"/>
        </w:rPr>
      </w:pPr>
      <w:r w:rsidRPr="000C2623">
        <w:rPr>
          <w:rFonts w:cs="Helvetica-Light"/>
          <w:sz w:val="24"/>
          <w:szCs w:val="24"/>
        </w:rPr>
        <w:t>How should risk be categorised?</w:t>
      </w:r>
    </w:p>
    <w:p w:rsidR="00B47A98" w:rsidRDefault="00B47A98" w:rsidP="000C2623">
      <w:pPr>
        <w:pStyle w:val="ListParagraph"/>
        <w:numPr>
          <w:ilvl w:val="0"/>
          <w:numId w:val="1"/>
        </w:numPr>
        <w:autoSpaceDE w:val="0"/>
        <w:autoSpaceDN w:val="0"/>
        <w:adjustRightInd w:val="0"/>
        <w:spacing w:after="0" w:line="360" w:lineRule="auto"/>
        <w:rPr>
          <w:rFonts w:cs="Helvetica-Light"/>
          <w:sz w:val="24"/>
          <w:szCs w:val="24"/>
        </w:rPr>
      </w:pPr>
      <w:r w:rsidRPr="000C2623">
        <w:rPr>
          <w:rFonts w:cs="Helvetica-Light"/>
          <w:sz w:val="24"/>
          <w:szCs w:val="24"/>
        </w:rPr>
        <w:lastRenderedPageBreak/>
        <w:t>How will TNE review engage with other QA agency processes?</w:t>
      </w:r>
    </w:p>
    <w:p w:rsidR="00FE5B15" w:rsidRPr="000C2623" w:rsidRDefault="00FE5B15" w:rsidP="00FE5B15">
      <w:pPr>
        <w:pStyle w:val="ListParagraph"/>
        <w:autoSpaceDE w:val="0"/>
        <w:autoSpaceDN w:val="0"/>
        <w:adjustRightInd w:val="0"/>
        <w:spacing w:after="0" w:line="360" w:lineRule="auto"/>
        <w:rPr>
          <w:rFonts w:cs="Helvetica-Light"/>
          <w:sz w:val="24"/>
          <w:szCs w:val="24"/>
        </w:rPr>
      </w:pPr>
    </w:p>
    <w:p w:rsidR="00B47A98" w:rsidRPr="000C2623" w:rsidRDefault="00FE5B15" w:rsidP="000C2623">
      <w:pPr>
        <w:autoSpaceDE w:val="0"/>
        <w:autoSpaceDN w:val="0"/>
        <w:adjustRightInd w:val="0"/>
        <w:spacing w:after="0" w:line="360" w:lineRule="auto"/>
        <w:rPr>
          <w:rFonts w:cs="Helvetica-Light"/>
          <w:sz w:val="24"/>
          <w:szCs w:val="24"/>
        </w:rPr>
      </w:pPr>
      <w:r>
        <w:rPr>
          <w:rFonts w:cs="Helvetica-Light"/>
          <w:sz w:val="24"/>
          <w:szCs w:val="24"/>
        </w:rPr>
        <w:t>P</w:t>
      </w:r>
      <w:r w:rsidR="00EC781B" w:rsidRPr="000C2623">
        <w:rPr>
          <w:rFonts w:cs="Helvetica-Light"/>
          <w:sz w:val="24"/>
          <w:szCs w:val="24"/>
        </w:rPr>
        <w:t xml:space="preserve">ublished external quality assurance reviews of higher education institutions in Ireland have raised similar concerns. </w:t>
      </w:r>
      <w:r w:rsidR="00B47A98" w:rsidRPr="000C2623">
        <w:rPr>
          <w:rFonts w:cs="Helvetica-Light"/>
          <w:sz w:val="24"/>
          <w:szCs w:val="24"/>
        </w:rPr>
        <w:t xml:space="preserve">QQI will </w:t>
      </w:r>
      <w:r w:rsidR="00EC781B" w:rsidRPr="000C2623">
        <w:rPr>
          <w:rFonts w:cs="Helvetica-Light"/>
          <w:sz w:val="24"/>
          <w:szCs w:val="24"/>
        </w:rPr>
        <w:t xml:space="preserve">continue </w:t>
      </w:r>
      <w:r w:rsidR="00B47A98" w:rsidRPr="000C2623">
        <w:rPr>
          <w:rFonts w:cs="Helvetica-Light"/>
          <w:sz w:val="24"/>
          <w:szCs w:val="24"/>
        </w:rPr>
        <w:t xml:space="preserve">work collaboratively with stakeholders to address these questions. </w:t>
      </w:r>
    </w:p>
    <w:p w:rsidR="00B47A98" w:rsidRPr="000C2623" w:rsidRDefault="00B47A98" w:rsidP="000C2623">
      <w:pPr>
        <w:autoSpaceDE w:val="0"/>
        <w:autoSpaceDN w:val="0"/>
        <w:adjustRightInd w:val="0"/>
        <w:spacing w:after="0" w:line="360" w:lineRule="auto"/>
        <w:rPr>
          <w:rFonts w:cs="Helvetica-Light"/>
          <w:sz w:val="24"/>
          <w:szCs w:val="24"/>
        </w:rPr>
      </w:pPr>
    </w:p>
    <w:p w:rsidR="008E0133" w:rsidRPr="000C2623" w:rsidRDefault="00C10E7E" w:rsidP="000C2623">
      <w:pPr>
        <w:autoSpaceDE w:val="0"/>
        <w:autoSpaceDN w:val="0"/>
        <w:adjustRightInd w:val="0"/>
        <w:spacing w:after="0" w:line="360" w:lineRule="auto"/>
        <w:rPr>
          <w:rFonts w:cs="Helvetica-Light"/>
          <w:sz w:val="24"/>
          <w:szCs w:val="24"/>
        </w:rPr>
      </w:pPr>
      <w:r w:rsidRPr="000C2623">
        <w:rPr>
          <w:rFonts w:cs="Helvetica-Light"/>
          <w:sz w:val="24"/>
          <w:szCs w:val="24"/>
        </w:rPr>
        <w:t xml:space="preserve">Transnational </w:t>
      </w:r>
      <w:r w:rsidR="00997158">
        <w:rPr>
          <w:rFonts w:cs="Helvetica-Light"/>
          <w:sz w:val="24"/>
          <w:szCs w:val="24"/>
        </w:rPr>
        <w:t>education is defined in Ireland</w:t>
      </w:r>
      <w:r w:rsidR="00431C90">
        <w:rPr>
          <w:rFonts w:cs="Helvetica-Light"/>
          <w:sz w:val="24"/>
          <w:szCs w:val="24"/>
        </w:rPr>
        <w:t>’</w:t>
      </w:r>
      <w:r w:rsidR="00997158">
        <w:rPr>
          <w:rFonts w:cs="Helvetica-Light"/>
          <w:sz w:val="24"/>
          <w:szCs w:val="24"/>
        </w:rPr>
        <w:t>s</w:t>
      </w:r>
      <w:r w:rsidR="001A571C" w:rsidRPr="000C2623">
        <w:rPr>
          <w:rFonts w:cs="Helvetica-Light"/>
          <w:sz w:val="24"/>
          <w:szCs w:val="24"/>
        </w:rPr>
        <w:t xml:space="preserve"> International Education Strategy</w:t>
      </w:r>
      <w:r w:rsidRPr="000C2623">
        <w:rPr>
          <w:rFonts w:cs="Helvetica-Light"/>
          <w:sz w:val="24"/>
          <w:szCs w:val="24"/>
        </w:rPr>
        <w:t xml:space="preserve"> as ‘‘education where the degree-awarding institution and the student are located in different </w:t>
      </w:r>
      <w:r w:rsidR="00E54BA1" w:rsidRPr="000C2623">
        <w:rPr>
          <w:rFonts w:cs="Helvetica-Light"/>
          <w:sz w:val="24"/>
          <w:szCs w:val="24"/>
        </w:rPr>
        <w:t>countries</w:t>
      </w:r>
      <w:r w:rsidRPr="000C2623">
        <w:rPr>
          <w:rFonts w:cs="Helvetica-Light"/>
          <w:sz w:val="24"/>
          <w:szCs w:val="24"/>
        </w:rPr>
        <w:t xml:space="preserve"> and it encompasses a diversity of operations ranging from distance education and on-line learning to franchising and full</w:t>
      </w:r>
      <w:r w:rsidR="001A571C" w:rsidRPr="000C2623">
        <w:rPr>
          <w:rFonts w:cs="Helvetica-Light"/>
          <w:sz w:val="24"/>
          <w:szCs w:val="24"/>
        </w:rPr>
        <w:t xml:space="preserve">y fledged branch campuses”. </w:t>
      </w:r>
    </w:p>
    <w:p w:rsidR="00C10E7E" w:rsidRPr="000C2623" w:rsidRDefault="00C10E7E" w:rsidP="000C2623">
      <w:pPr>
        <w:autoSpaceDE w:val="0"/>
        <w:autoSpaceDN w:val="0"/>
        <w:adjustRightInd w:val="0"/>
        <w:spacing w:after="0" w:line="360" w:lineRule="auto"/>
        <w:rPr>
          <w:rFonts w:cs="Helvetica-Light"/>
          <w:sz w:val="24"/>
          <w:szCs w:val="24"/>
        </w:rPr>
      </w:pPr>
    </w:p>
    <w:p w:rsidR="00F7007C" w:rsidRPr="000C2623" w:rsidRDefault="008636F0" w:rsidP="000C2623">
      <w:pPr>
        <w:autoSpaceDE w:val="0"/>
        <w:autoSpaceDN w:val="0"/>
        <w:adjustRightInd w:val="0"/>
        <w:spacing w:after="0" w:line="360" w:lineRule="auto"/>
        <w:rPr>
          <w:rFonts w:cs="Calibri"/>
          <w:sz w:val="24"/>
          <w:szCs w:val="24"/>
        </w:rPr>
      </w:pPr>
      <w:r w:rsidRPr="000C2623">
        <w:rPr>
          <w:rFonts w:cs="Helvetica-Light"/>
          <w:sz w:val="24"/>
          <w:szCs w:val="24"/>
        </w:rPr>
        <w:t>Enterprise Ireland</w:t>
      </w:r>
      <w:r w:rsidRPr="000C2623">
        <w:rPr>
          <w:rStyle w:val="FootnoteReference"/>
          <w:rFonts w:cs="Helvetica-Light"/>
          <w:sz w:val="24"/>
          <w:szCs w:val="24"/>
        </w:rPr>
        <w:footnoteReference w:id="9"/>
      </w:r>
      <w:r>
        <w:rPr>
          <w:rFonts w:cs="Helvetica-Light"/>
          <w:sz w:val="24"/>
          <w:szCs w:val="24"/>
        </w:rPr>
        <w:t xml:space="preserve"> adopted</w:t>
      </w:r>
      <w:r w:rsidRPr="000C2623">
        <w:rPr>
          <w:rFonts w:cs="Helvetica-Light"/>
          <w:sz w:val="24"/>
          <w:szCs w:val="24"/>
        </w:rPr>
        <w:t xml:space="preserve"> a </w:t>
      </w:r>
      <w:r>
        <w:rPr>
          <w:rFonts w:cs="Helvetica-Light"/>
          <w:sz w:val="24"/>
          <w:szCs w:val="24"/>
        </w:rPr>
        <w:t>more expansive</w:t>
      </w:r>
      <w:r w:rsidRPr="000C2623">
        <w:rPr>
          <w:rFonts w:cs="Helvetica-Light"/>
          <w:sz w:val="24"/>
          <w:szCs w:val="24"/>
        </w:rPr>
        <w:t xml:space="preserve"> definition borrowed from the Canadian experience </w:t>
      </w:r>
      <w:r w:rsidRPr="000C2623">
        <w:rPr>
          <w:rFonts w:cs="Calibri"/>
          <w:sz w:val="24"/>
          <w:szCs w:val="24"/>
        </w:rPr>
        <w:t>where TNE is generally agreed to refer to ‘</w:t>
      </w:r>
      <w:r w:rsidRPr="000C2623">
        <w:rPr>
          <w:rFonts w:cs="Calibri"/>
          <w:i/>
          <w:iCs/>
          <w:sz w:val="24"/>
          <w:szCs w:val="24"/>
        </w:rPr>
        <w:t xml:space="preserve">any education delivered by an institution based in one country to students located in another. </w:t>
      </w:r>
      <w:r w:rsidR="00F7007C" w:rsidRPr="000C2623">
        <w:rPr>
          <w:rFonts w:cs="Calibri"/>
          <w:i/>
          <w:iCs/>
          <w:sz w:val="24"/>
          <w:szCs w:val="24"/>
        </w:rPr>
        <w:t>In its broadest sense, it covers... online and distance learning and its hybrid/supported variants (the largest chunk in terms of student numbers), articulation arrangements, twinning programmes that typically lead to double or joint degrees, franchising and validation arrangements, and international branch campuses</w:t>
      </w:r>
      <w:r w:rsidR="00F7007C" w:rsidRPr="000C2623">
        <w:rPr>
          <w:rFonts w:cs="Calibri"/>
          <w:sz w:val="24"/>
          <w:szCs w:val="24"/>
        </w:rPr>
        <w:t>’</w:t>
      </w:r>
    </w:p>
    <w:p w:rsidR="00F7007C" w:rsidRPr="000C2623" w:rsidRDefault="00F7007C" w:rsidP="000C2623">
      <w:pPr>
        <w:autoSpaceDE w:val="0"/>
        <w:autoSpaceDN w:val="0"/>
        <w:adjustRightInd w:val="0"/>
        <w:spacing w:after="0" w:line="360" w:lineRule="auto"/>
        <w:rPr>
          <w:rFonts w:cs="Calibri"/>
          <w:sz w:val="24"/>
          <w:szCs w:val="24"/>
        </w:rPr>
      </w:pPr>
    </w:p>
    <w:p w:rsidR="00F7007C" w:rsidRPr="000C2623" w:rsidRDefault="008E37E6" w:rsidP="000C2623">
      <w:pPr>
        <w:autoSpaceDE w:val="0"/>
        <w:autoSpaceDN w:val="0"/>
        <w:adjustRightInd w:val="0"/>
        <w:spacing w:after="0" w:line="360" w:lineRule="auto"/>
        <w:rPr>
          <w:rFonts w:cs="Avenir-Book"/>
          <w:i/>
          <w:sz w:val="24"/>
          <w:szCs w:val="24"/>
        </w:rPr>
      </w:pPr>
      <w:r>
        <w:rPr>
          <w:rFonts w:cs="Calibri"/>
          <w:iCs/>
          <w:sz w:val="24"/>
          <w:szCs w:val="24"/>
        </w:rPr>
        <w:t>G</w:t>
      </w:r>
      <w:r w:rsidR="00D1515A" w:rsidRPr="000C2623">
        <w:rPr>
          <w:rFonts w:cs="Calibri"/>
          <w:iCs/>
          <w:sz w:val="24"/>
          <w:szCs w:val="24"/>
        </w:rPr>
        <w:t>uidelines developed by the Irish Higher Education Quality Network</w:t>
      </w:r>
      <w:r w:rsidR="00DF21B7" w:rsidRPr="000C2623">
        <w:rPr>
          <w:rStyle w:val="FootnoteReference"/>
          <w:rFonts w:cs="Calibri"/>
          <w:iCs/>
          <w:sz w:val="24"/>
          <w:szCs w:val="24"/>
        </w:rPr>
        <w:footnoteReference w:id="10"/>
      </w:r>
      <w:r w:rsidR="00DF21B7" w:rsidRPr="000C2623">
        <w:rPr>
          <w:rFonts w:cs="Calibri"/>
          <w:iCs/>
          <w:sz w:val="24"/>
          <w:szCs w:val="24"/>
        </w:rPr>
        <w:t xml:space="preserve"> focus on collaborative and t</w:t>
      </w:r>
      <w:r w:rsidR="00D1515A" w:rsidRPr="000C2623">
        <w:rPr>
          <w:rFonts w:cs="Calibri"/>
          <w:iCs/>
          <w:sz w:val="24"/>
          <w:szCs w:val="24"/>
        </w:rPr>
        <w:t>r</w:t>
      </w:r>
      <w:r w:rsidR="00DF21B7" w:rsidRPr="000C2623">
        <w:rPr>
          <w:rFonts w:cs="Calibri"/>
          <w:iCs/>
          <w:sz w:val="24"/>
          <w:szCs w:val="24"/>
        </w:rPr>
        <w:t>ansnational arrangements that involve the delivery of taught programmes</w:t>
      </w:r>
      <w:r w:rsidR="00B73FA8" w:rsidRPr="000C2623">
        <w:rPr>
          <w:rFonts w:cs="Calibri"/>
          <w:iCs/>
          <w:sz w:val="24"/>
          <w:szCs w:val="24"/>
        </w:rPr>
        <w:t>.</w:t>
      </w:r>
      <w:r w:rsidR="00DF21B7" w:rsidRPr="000C2623">
        <w:rPr>
          <w:rFonts w:cs="Calibri"/>
          <w:iCs/>
          <w:sz w:val="24"/>
          <w:szCs w:val="24"/>
        </w:rPr>
        <w:t xml:space="preserve"> The network define</w:t>
      </w:r>
      <w:r w:rsidR="00B73FA8" w:rsidRPr="000C2623">
        <w:rPr>
          <w:rFonts w:cs="Calibri"/>
          <w:iCs/>
          <w:sz w:val="24"/>
          <w:szCs w:val="24"/>
        </w:rPr>
        <w:t>s</w:t>
      </w:r>
      <w:r w:rsidR="00DF21B7" w:rsidRPr="000C2623">
        <w:rPr>
          <w:rFonts w:cs="Calibri"/>
          <w:iCs/>
          <w:sz w:val="24"/>
          <w:szCs w:val="24"/>
        </w:rPr>
        <w:t xml:space="preserve"> transnational provision as </w:t>
      </w:r>
      <w:r>
        <w:rPr>
          <w:rFonts w:cs="Calibri"/>
          <w:iCs/>
          <w:sz w:val="24"/>
          <w:szCs w:val="24"/>
        </w:rPr>
        <w:t>‘</w:t>
      </w:r>
      <w:r w:rsidR="00DF21B7" w:rsidRPr="000C2623">
        <w:rPr>
          <w:rFonts w:cs="Avenir-Book"/>
          <w:i/>
          <w:sz w:val="24"/>
          <w:szCs w:val="24"/>
        </w:rPr>
        <w:t>the provision or partial provision of a programme of education in one country by a provider that is based in another country</w:t>
      </w:r>
      <w:r>
        <w:rPr>
          <w:rFonts w:cs="Avenir-Book"/>
          <w:i/>
          <w:sz w:val="24"/>
          <w:szCs w:val="24"/>
        </w:rPr>
        <w:t>’</w:t>
      </w:r>
      <w:r w:rsidR="00DF21B7" w:rsidRPr="000C2623">
        <w:rPr>
          <w:rFonts w:cs="Avenir-Book"/>
          <w:i/>
          <w:sz w:val="24"/>
          <w:szCs w:val="24"/>
        </w:rPr>
        <w:t>.</w:t>
      </w:r>
    </w:p>
    <w:p w:rsidR="00D1515A" w:rsidRPr="000C2623" w:rsidRDefault="00D1515A" w:rsidP="000C2623">
      <w:pPr>
        <w:autoSpaceDE w:val="0"/>
        <w:autoSpaceDN w:val="0"/>
        <w:adjustRightInd w:val="0"/>
        <w:spacing w:after="0" w:line="360" w:lineRule="auto"/>
        <w:rPr>
          <w:rFonts w:cs="Avenir-Book"/>
          <w:sz w:val="24"/>
          <w:szCs w:val="24"/>
        </w:rPr>
      </w:pPr>
      <w:r w:rsidRPr="000C2623">
        <w:rPr>
          <w:rFonts w:cs="Avenir-Book"/>
          <w:sz w:val="24"/>
          <w:szCs w:val="24"/>
        </w:rPr>
        <w:t xml:space="preserve">The guidelines </w:t>
      </w:r>
      <w:r w:rsidR="008E37E6">
        <w:rPr>
          <w:rFonts w:cs="Avenir-Book"/>
          <w:sz w:val="24"/>
          <w:szCs w:val="24"/>
        </w:rPr>
        <w:t xml:space="preserve">also </w:t>
      </w:r>
      <w:r w:rsidRPr="000C2623">
        <w:rPr>
          <w:rFonts w:cs="Avenir-Book"/>
          <w:sz w:val="24"/>
          <w:szCs w:val="24"/>
        </w:rPr>
        <w:t xml:space="preserve">include a list of interpretations that reflect common usage of associated terminology. </w:t>
      </w:r>
    </w:p>
    <w:p w:rsidR="00D1515A" w:rsidRPr="000C2623" w:rsidRDefault="00D1515A" w:rsidP="000C2623">
      <w:pPr>
        <w:autoSpaceDE w:val="0"/>
        <w:autoSpaceDN w:val="0"/>
        <w:adjustRightInd w:val="0"/>
        <w:spacing w:after="0" w:line="360" w:lineRule="auto"/>
        <w:rPr>
          <w:rFonts w:cs="Avenir-Book"/>
          <w:sz w:val="24"/>
          <w:szCs w:val="24"/>
        </w:rPr>
      </w:pPr>
    </w:p>
    <w:p w:rsidR="0031625B" w:rsidRDefault="004047C6" w:rsidP="000C2623">
      <w:pPr>
        <w:autoSpaceDE w:val="0"/>
        <w:autoSpaceDN w:val="0"/>
        <w:adjustRightInd w:val="0"/>
        <w:spacing w:after="0" w:line="360" w:lineRule="auto"/>
        <w:rPr>
          <w:rFonts w:cs="BritishCouncilSans-Light"/>
          <w:sz w:val="24"/>
          <w:szCs w:val="24"/>
        </w:rPr>
      </w:pPr>
      <w:r>
        <w:rPr>
          <w:rFonts w:cs="Avenir-Book"/>
          <w:sz w:val="24"/>
          <w:szCs w:val="24"/>
        </w:rPr>
        <w:lastRenderedPageBreak/>
        <w:t>In light of the growing proportion of off-shore and virtual provision of inter</w:t>
      </w:r>
      <w:r w:rsidR="000C1860">
        <w:rPr>
          <w:rFonts w:cs="Avenir-Book"/>
          <w:sz w:val="24"/>
          <w:szCs w:val="24"/>
        </w:rPr>
        <w:t>national education and in order to facilitate</w:t>
      </w:r>
      <w:r>
        <w:rPr>
          <w:rFonts w:cs="Avenir-Book"/>
          <w:sz w:val="24"/>
          <w:szCs w:val="24"/>
        </w:rPr>
        <w:t xml:space="preserve"> </w:t>
      </w:r>
      <w:r w:rsidR="000C1860">
        <w:rPr>
          <w:rFonts w:cs="Avenir-Book"/>
          <w:sz w:val="24"/>
          <w:szCs w:val="24"/>
        </w:rPr>
        <w:t>the systematic</w:t>
      </w:r>
      <w:r>
        <w:rPr>
          <w:rFonts w:cs="Avenir-Book"/>
          <w:sz w:val="24"/>
          <w:szCs w:val="24"/>
        </w:rPr>
        <w:t xml:space="preserve"> evaluation of the international education sector</w:t>
      </w:r>
      <w:r w:rsidR="000C1860">
        <w:rPr>
          <w:rFonts w:cs="Avenir-Book"/>
          <w:sz w:val="24"/>
          <w:szCs w:val="24"/>
        </w:rPr>
        <w:t xml:space="preserve">, there is a need for a shared </w:t>
      </w:r>
      <w:r w:rsidR="00997158">
        <w:rPr>
          <w:rFonts w:cs="Avenir-Book"/>
          <w:sz w:val="24"/>
          <w:szCs w:val="24"/>
        </w:rPr>
        <w:t>conceptual understanding</w:t>
      </w:r>
      <w:r w:rsidR="0067284C" w:rsidRPr="000C2623">
        <w:rPr>
          <w:rFonts w:cs="Avenir-Book"/>
          <w:sz w:val="24"/>
          <w:szCs w:val="24"/>
        </w:rPr>
        <w:t xml:space="preserve"> of </w:t>
      </w:r>
      <w:r w:rsidR="0067284C" w:rsidRPr="00997158">
        <w:rPr>
          <w:rFonts w:cs="Avenir-Book"/>
          <w:i/>
          <w:sz w:val="24"/>
          <w:szCs w:val="24"/>
        </w:rPr>
        <w:t>transnational education</w:t>
      </w:r>
      <w:r w:rsidR="0067284C" w:rsidRPr="000C2623">
        <w:rPr>
          <w:rFonts w:cs="Avenir-Book"/>
          <w:sz w:val="24"/>
          <w:szCs w:val="24"/>
        </w:rPr>
        <w:t xml:space="preserve"> and </w:t>
      </w:r>
      <w:r w:rsidR="00997158">
        <w:rPr>
          <w:rFonts w:cs="Avenir-Book"/>
          <w:sz w:val="24"/>
          <w:szCs w:val="24"/>
        </w:rPr>
        <w:t xml:space="preserve">associated </w:t>
      </w:r>
      <w:r w:rsidR="008636F0">
        <w:rPr>
          <w:rFonts w:cs="Avenir-Book"/>
          <w:sz w:val="24"/>
          <w:szCs w:val="24"/>
        </w:rPr>
        <w:t>terms</w:t>
      </w:r>
      <w:r w:rsidR="00997158">
        <w:rPr>
          <w:rFonts w:cs="Avenir-Book"/>
          <w:sz w:val="24"/>
          <w:szCs w:val="24"/>
        </w:rPr>
        <w:t xml:space="preserve"> </w:t>
      </w:r>
      <w:r w:rsidR="000C1860">
        <w:rPr>
          <w:rFonts w:cs="Avenir-Book"/>
          <w:sz w:val="24"/>
          <w:szCs w:val="24"/>
        </w:rPr>
        <w:t>including</w:t>
      </w:r>
      <w:r w:rsidR="00997158">
        <w:rPr>
          <w:rFonts w:cs="Avenir-Book"/>
          <w:sz w:val="24"/>
          <w:szCs w:val="24"/>
        </w:rPr>
        <w:t xml:space="preserve">: </w:t>
      </w:r>
      <w:r w:rsidR="0067284C" w:rsidRPr="000C2623">
        <w:rPr>
          <w:rFonts w:cs="Avenir-Book"/>
          <w:sz w:val="24"/>
          <w:szCs w:val="24"/>
        </w:rPr>
        <w:t xml:space="preserve">  </w:t>
      </w:r>
      <w:r w:rsidR="00C10E7E" w:rsidRPr="00997158">
        <w:rPr>
          <w:i/>
          <w:sz w:val="24"/>
          <w:szCs w:val="24"/>
        </w:rPr>
        <w:t>International branch campus</w:t>
      </w:r>
      <w:r w:rsidR="0067284C" w:rsidRPr="00997158">
        <w:rPr>
          <w:i/>
          <w:sz w:val="24"/>
          <w:szCs w:val="24"/>
        </w:rPr>
        <w:t>;</w:t>
      </w:r>
      <w:r w:rsidR="00C10E7E" w:rsidRPr="00997158">
        <w:rPr>
          <w:i/>
          <w:sz w:val="24"/>
          <w:szCs w:val="24"/>
        </w:rPr>
        <w:t xml:space="preserve"> </w:t>
      </w:r>
      <w:r w:rsidR="00C10E7E" w:rsidRPr="00997158">
        <w:rPr>
          <w:rFonts w:cs="BritishCouncilSans-Light"/>
          <w:i/>
          <w:sz w:val="24"/>
          <w:szCs w:val="24"/>
        </w:rPr>
        <w:t>Franchise/twinning programmes</w:t>
      </w:r>
      <w:r w:rsidR="0067284C" w:rsidRPr="00997158">
        <w:rPr>
          <w:rFonts w:cs="BritishCouncilSans-Light"/>
          <w:i/>
          <w:sz w:val="24"/>
          <w:szCs w:val="24"/>
        </w:rPr>
        <w:t>;</w:t>
      </w:r>
      <w:r w:rsidR="00C10E7E" w:rsidRPr="00997158">
        <w:rPr>
          <w:rFonts w:cs="BritishCouncilSans-Light"/>
          <w:i/>
          <w:sz w:val="24"/>
          <w:szCs w:val="24"/>
        </w:rPr>
        <w:t xml:space="preserve">  Articulation agreements</w:t>
      </w:r>
      <w:r w:rsidR="0067284C" w:rsidRPr="00997158">
        <w:rPr>
          <w:rFonts w:cs="BritishCouncilSans-Light"/>
          <w:i/>
          <w:sz w:val="24"/>
          <w:szCs w:val="24"/>
        </w:rPr>
        <w:t>;</w:t>
      </w:r>
      <w:r w:rsidR="00C10E7E" w:rsidRPr="00997158">
        <w:rPr>
          <w:rFonts w:cs="BritishCouncilSans-Light"/>
          <w:i/>
          <w:sz w:val="24"/>
          <w:szCs w:val="24"/>
        </w:rPr>
        <w:t xml:space="preserve">  Double/dual degree programmes</w:t>
      </w:r>
      <w:r w:rsidR="0067284C" w:rsidRPr="00997158">
        <w:rPr>
          <w:rFonts w:cs="BritishCouncilSans-Light"/>
          <w:i/>
          <w:sz w:val="24"/>
          <w:szCs w:val="24"/>
        </w:rPr>
        <w:t>;</w:t>
      </w:r>
      <w:r w:rsidR="00C10E7E" w:rsidRPr="00997158">
        <w:rPr>
          <w:rFonts w:cs="BritishCouncilSans-Light"/>
          <w:i/>
          <w:sz w:val="24"/>
          <w:szCs w:val="24"/>
        </w:rPr>
        <w:t xml:space="preserve">  Joint degree programmes</w:t>
      </w:r>
      <w:r w:rsidR="0067284C" w:rsidRPr="00997158">
        <w:rPr>
          <w:rFonts w:cs="BritishCouncilSans-Light"/>
          <w:i/>
          <w:sz w:val="24"/>
          <w:szCs w:val="24"/>
        </w:rPr>
        <w:t xml:space="preserve">;  Validation programmes ; </w:t>
      </w:r>
      <w:r w:rsidR="00C10E7E" w:rsidRPr="00997158">
        <w:rPr>
          <w:rFonts w:cs="BritishCouncilSans-Light"/>
          <w:i/>
          <w:sz w:val="24"/>
          <w:szCs w:val="24"/>
        </w:rPr>
        <w:t>Access/feeder programmes, credit transfer/study abroad programmes, short-term or partial credit programmes, distance learning programmes/ virtual universities, tuition providers/ teaching centres, bi-national campuses, independent campuses, corporate training and</w:t>
      </w:r>
      <w:r w:rsidR="00F7007C" w:rsidRPr="00997158">
        <w:rPr>
          <w:rFonts w:cs="BritishCouncilSans-Light"/>
          <w:i/>
          <w:sz w:val="24"/>
          <w:szCs w:val="24"/>
        </w:rPr>
        <w:t xml:space="preserve"> </w:t>
      </w:r>
      <w:r w:rsidR="00C10E7E" w:rsidRPr="00997158">
        <w:rPr>
          <w:rFonts w:cs="BritishCouncilSans-Light"/>
          <w:i/>
          <w:sz w:val="24"/>
          <w:szCs w:val="24"/>
        </w:rPr>
        <w:t>intermediary agencies.</w:t>
      </w:r>
      <w:r w:rsidR="00C10E7E" w:rsidRPr="000C2623">
        <w:rPr>
          <w:rFonts w:cs="BritishCouncilSans-Light"/>
          <w:sz w:val="24"/>
          <w:szCs w:val="24"/>
        </w:rPr>
        <w:t xml:space="preserve"> </w:t>
      </w:r>
      <w:r w:rsidR="00997158">
        <w:rPr>
          <w:rFonts w:cs="BritishCouncilSans-Light"/>
          <w:sz w:val="24"/>
          <w:szCs w:val="24"/>
        </w:rPr>
        <w:t>While s</w:t>
      </w:r>
      <w:r w:rsidR="0067284C" w:rsidRPr="000C2623">
        <w:rPr>
          <w:rFonts w:cs="BritishCouncilSans-Light"/>
          <w:sz w:val="24"/>
          <w:szCs w:val="24"/>
        </w:rPr>
        <w:t>ome of these terms are defi</w:t>
      </w:r>
      <w:r w:rsidR="00997158">
        <w:rPr>
          <w:rFonts w:cs="BritishCouncilSans-Light"/>
          <w:sz w:val="24"/>
          <w:szCs w:val="24"/>
        </w:rPr>
        <w:t xml:space="preserve">ned in national legislation, </w:t>
      </w:r>
      <w:r w:rsidR="0067284C" w:rsidRPr="000C2623">
        <w:rPr>
          <w:rFonts w:cs="BritishCouncilSans-Light"/>
          <w:sz w:val="24"/>
          <w:szCs w:val="24"/>
        </w:rPr>
        <w:t xml:space="preserve">there are international sources that </w:t>
      </w:r>
      <w:r w:rsidR="00997158">
        <w:rPr>
          <w:rFonts w:cs="BritishCouncilSans-Light"/>
          <w:sz w:val="24"/>
          <w:szCs w:val="24"/>
        </w:rPr>
        <w:t xml:space="preserve">also </w:t>
      </w:r>
      <w:r w:rsidR="0067284C" w:rsidRPr="000C2623">
        <w:rPr>
          <w:rFonts w:cs="BritishCouncilSans-Light"/>
          <w:sz w:val="24"/>
          <w:szCs w:val="24"/>
        </w:rPr>
        <w:t>provide guidan</w:t>
      </w:r>
      <w:r w:rsidR="001A571C" w:rsidRPr="000C2623">
        <w:rPr>
          <w:rFonts w:cs="BritishCouncilSans-Light"/>
          <w:sz w:val="24"/>
          <w:szCs w:val="24"/>
        </w:rPr>
        <w:t>ce in this a</w:t>
      </w:r>
      <w:r w:rsidR="00997158">
        <w:rPr>
          <w:rFonts w:cs="BritishCouncilSans-Light"/>
          <w:sz w:val="24"/>
          <w:szCs w:val="24"/>
        </w:rPr>
        <w:t xml:space="preserve">rea, see for example recent work </w:t>
      </w:r>
      <w:r w:rsidR="001A571C" w:rsidRPr="000C2623">
        <w:rPr>
          <w:rFonts w:cs="BritishCouncilSans-Light"/>
          <w:sz w:val="24"/>
          <w:szCs w:val="24"/>
        </w:rPr>
        <w:t xml:space="preserve">published </w:t>
      </w:r>
      <w:r w:rsidR="0067284C" w:rsidRPr="000C2623">
        <w:rPr>
          <w:rFonts w:cs="BritishCouncilSans-Light"/>
          <w:sz w:val="24"/>
          <w:szCs w:val="24"/>
        </w:rPr>
        <w:t>by t</w:t>
      </w:r>
      <w:r w:rsidR="00F7007C" w:rsidRPr="000C2623">
        <w:rPr>
          <w:rFonts w:cs="BritishCouncilSans-Light"/>
          <w:sz w:val="24"/>
          <w:szCs w:val="24"/>
        </w:rPr>
        <w:t>he British Counc</w:t>
      </w:r>
      <w:r w:rsidR="0067284C" w:rsidRPr="000C2623">
        <w:rPr>
          <w:rFonts w:cs="BritishCouncilSans-Light"/>
          <w:sz w:val="24"/>
          <w:szCs w:val="24"/>
        </w:rPr>
        <w:t>il</w:t>
      </w:r>
      <w:r w:rsidR="00F7007C" w:rsidRPr="000C2623">
        <w:rPr>
          <w:rFonts w:cs="BritishCouncilSans-Light"/>
          <w:sz w:val="24"/>
          <w:szCs w:val="24"/>
        </w:rPr>
        <w:t xml:space="preserve"> </w:t>
      </w:r>
      <w:r w:rsidR="00C10E7E" w:rsidRPr="000C2623">
        <w:rPr>
          <w:rStyle w:val="FootnoteReference"/>
          <w:rFonts w:cs="BritishCouncilSans-Light"/>
          <w:sz w:val="24"/>
          <w:szCs w:val="24"/>
        </w:rPr>
        <w:footnoteReference w:id="11"/>
      </w:r>
    </w:p>
    <w:p w:rsidR="00431C90" w:rsidRPr="00997158" w:rsidRDefault="002B6F70" w:rsidP="000C2623">
      <w:pPr>
        <w:autoSpaceDE w:val="0"/>
        <w:autoSpaceDN w:val="0"/>
        <w:adjustRightInd w:val="0"/>
        <w:spacing w:after="0" w:line="360" w:lineRule="auto"/>
        <w:rPr>
          <w:rFonts w:cs="Avenir-Book"/>
          <w:sz w:val="24"/>
          <w:szCs w:val="24"/>
        </w:rPr>
      </w:pPr>
      <w:r>
        <w:rPr>
          <w:rFonts w:cs="BritishCouncilSans-Light"/>
          <w:sz w:val="24"/>
          <w:szCs w:val="24"/>
        </w:rPr>
        <w:t xml:space="preserve">Quality assurance guidelines for providers, to be developed by QQI, should enhance the collective clarity of terminology used to describe </w:t>
      </w:r>
      <w:r w:rsidR="00296E4A">
        <w:rPr>
          <w:rFonts w:cs="BritishCouncilSans-Light"/>
          <w:sz w:val="24"/>
          <w:szCs w:val="24"/>
        </w:rPr>
        <w:t xml:space="preserve">the diversity of </w:t>
      </w:r>
      <w:r>
        <w:rPr>
          <w:rFonts w:cs="BritishCouncilSans-Light"/>
          <w:sz w:val="24"/>
          <w:szCs w:val="24"/>
        </w:rPr>
        <w:t xml:space="preserve">transnational arrangements. </w:t>
      </w:r>
    </w:p>
    <w:p w:rsidR="001A2A37" w:rsidRPr="000C2623" w:rsidRDefault="001A2A37" w:rsidP="000C2623">
      <w:pPr>
        <w:spacing w:line="360" w:lineRule="auto"/>
        <w:rPr>
          <w:sz w:val="24"/>
          <w:szCs w:val="24"/>
        </w:rPr>
      </w:pPr>
    </w:p>
    <w:p w:rsidR="008E0133" w:rsidRPr="00022CB8" w:rsidRDefault="008E0133" w:rsidP="00022CB8">
      <w:pPr>
        <w:pStyle w:val="ListParagraph"/>
        <w:numPr>
          <w:ilvl w:val="0"/>
          <w:numId w:val="8"/>
        </w:numPr>
        <w:spacing w:line="360" w:lineRule="auto"/>
        <w:rPr>
          <w:color w:val="365F91" w:themeColor="accent1" w:themeShade="BF"/>
          <w:sz w:val="32"/>
          <w:szCs w:val="32"/>
        </w:rPr>
      </w:pPr>
      <w:r w:rsidRPr="00022CB8">
        <w:rPr>
          <w:color w:val="365F91" w:themeColor="accent1" w:themeShade="BF"/>
          <w:sz w:val="32"/>
          <w:szCs w:val="32"/>
        </w:rPr>
        <w:t xml:space="preserve">Networks and Partnerships. </w:t>
      </w:r>
    </w:p>
    <w:p w:rsidR="008E0133" w:rsidRPr="000C2623" w:rsidRDefault="00DA51BB" w:rsidP="000C2623">
      <w:pPr>
        <w:pStyle w:val="Default"/>
        <w:spacing w:line="360" w:lineRule="auto"/>
        <w:rPr>
          <w:rFonts w:asciiTheme="minorHAnsi" w:hAnsiTheme="minorHAnsi"/>
        </w:rPr>
      </w:pPr>
      <w:r w:rsidRPr="000C2623">
        <w:rPr>
          <w:rFonts w:asciiTheme="minorHAnsi" w:hAnsiTheme="minorHAnsi"/>
        </w:rPr>
        <w:t>Internationally recognised qualificatio</w:t>
      </w:r>
      <w:r w:rsidR="00997158">
        <w:rPr>
          <w:rFonts w:asciiTheme="minorHAnsi" w:hAnsiTheme="minorHAnsi"/>
        </w:rPr>
        <w:t>ns provide a foundation</w:t>
      </w:r>
      <w:r w:rsidRPr="000C2623">
        <w:rPr>
          <w:rFonts w:asciiTheme="minorHAnsi" w:hAnsiTheme="minorHAnsi"/>
        </w:rPr>
        <w:t xml:space="preserve"> for </w:t>
      </w:r>
      <w:r w:rsidR="00997158">
        <w:rPr>
          <w:rFonts w:asciiTheme="minorHAnsi" w:hAnsiTheme="minorHAnsi"/>
        </w:rPr>
        <w:t>student mobility.</w:t>
      </w:r>
      <w:r w:rsidR="00E107D9">
        <w:rPr>
          <w:rFonts w:asciiTheme="minorHAnsi" w:hAnsiTheme="minorHAnsi"/>
        </w:rPr>
        <w:t xml:space="preserve"> Transparency</w:t>
      </w:r>
      <w:r w:rsidR="00997158">
        <w:rPr>
          <w:rFonts w:asciiTheme="minorHAnsi" w:hAnsiTheme="minorHAnsi"/>
        </w:rPr>
        <w:t>,</w:t>
      </w:r>
      <w:r w:rsidR="003A59EC" w:rsidRPr="000C2623">
        <w:rPr>
          <w:rFonts w:asciiTheme="minorHAnsi" w:hAnsiTheme="minorHAnsi"/>
        </w:rPr>
        <w:t xml:space="preserve"> trust and confidence in Irelands qualifications system</w:t>
      </w:r>
      <w:r w:rsidR="00997158">
        <w:rPr>
          <w:rFonts w:asciiTheme="minorHAnsi" w:hAnsiTheme="minorHAnsi"/>
        </w:rPr>
        <w:t xml:space="preserve"> contributes to the </w:t>
      </w:r>
      <w:r w:rsidR="00E107D9">
        <w:rPr>
          <w:rFonts w:asciiTheme="minorHAnsi" w:hAnsiTheme="minorHAnsi"/>
        </w:rPr>
        <w:t>proposition that education providers can offer to international students</w:t>
      </w:r>
      <w:r w:rsidR="003A59EC" w:rsidRPr="000C2623">
        <w:rPr>
          <w:rFonts w:asciiTheme="minorHAnsi" w:hAnsiTheme="minorHAnsi"/>
        </w:rPr>
        <w:t xml:space="preserve">. </w:t>
      </w:r>
      <w:r w:rsidR="00280219" w:rsidRPr="000C2623">
        <w:rPr>
          <w:rFonts w:asciiTheme="minorHAnsi" w:hAnsiTheme="minorHAnsi"/>
        </w:rPr>
        <w:t xml:space="preserve">Ireland has been to the forefront in international developments relating to both the European Qualifications Framework (EQF) and the Framework for Qualifications of the European Higher Education Area (‘Bologna Framework’). Qualifications Frameworks and related </w:t>
      </w:r>
      <w:r w:rsidR="003908F8" w:rsidRPr="000C2623">
        <w:rPr>
          <w:rFonts w:asciiTheme="minorHAnsi" w:hAnsiTheme="minorHAnsi"/>
        </w:rPr>
        <w:t xml:space="preserve">transparency </w:t>
      </w:r>
      <w:r w:rsidR="00280219" w:rsidRPr="000C2623">
        <w:rPr>
          <w:rFonts w:asciiTheme="minorHAnsi" w:hAnsiTheme="minorHAnsi"/>
        </w:rPr>
        <w:t xml:space="preserve">instruments such as credit (ECTS and ECVET), </w:t>
      </w:r>
      <w:r w:rsidR="003908F8" w:rsidRPr="000C2623">
        <w:rPr>
          <w:rFonts w:asciiTheme="minorHAnsi" w:hAnsiTheme="minorHAnsi"/>
        </w:rPr>
        <w:t>recognit</w:t>
      </w:r>
      <w:r w:rsidR="00E107D9">
        <w:rPr>
          <w:rFonts w:asciiTheme="minorHAnsi" w:hAnsiTheme="minorHAnsi"/>
        </w:rPr>
        <w:t xml:space="preserve">ion tools such as NARIC and </w:t>
      </w:r>
      <w:r w:rsidR="003908F8" w:rsidRPr="000C2623">
        <w:rPr>
          <w:rFonts w:asciiTheme="minorHAnsi" w:hAnsiTheme="minorHAnsi"/>
        </w:rPr>
        <w:t>the L</w:t>
      </w:r>
      <w:r w:rsidR="00E107D9">
        <w:rPr>
          <w:rFonts w:asciiTheme="minorHAnsi" w:hAnsiTheme="minorHAnsi"/>
        </w:rPr>
        <w:t>isbon Recognition Convention along with</w:t>
      </w:r>
      <w:r w:rsidR="003908F8" w:rsidRPr="000C2623">
        <w:rPr>
          <w:rFonts w:asciiTheme="minorHAnsi" w:hAnsiTheme="minorHAnsi"/>
        </w:rPr>
        <w:t xml:space="preserve"> </w:t>
      </w:r>
      <w:r w:rsidR="00226FA5">
        <w:rPr>
          <w:rFonts w:asciiTheme="minorHAnsi" w:hAnsiTheme="minorHAnsi"/>
        </w:rPr>
        <w:t>information and skills intellig</w:t>
      </w:r>
      <w:r w:rsidR="003908F8" w:rsidRPr="000C2623">
        <w:rPr>
          <w:rFonts w:asciiTheme="minorHAnsi" w:hAnsiTheme="minorHAnsi"/>
        </w:rPr>
        <w:t>ence tools such as E</w:t>
      </w:r>
      <w:r w:rsidR="00405801" w:rsidRPr="000C2623">
        <w:rPr>
          <w:rFonts w:asciiTheme="minorHAnsi" w:hAnsiTheme="minorHAnsi"/>
        </w:rPr>
        <w:t xml:space="preserve">uropass and </w:t>
      </w:r>
      <w:r w:rsidR="003908F8" w:rsidRPr="000C2623">
        <w:rPr>
          <w:rFonts w:asciiTheme="minorHAnsi" w:hAnsiTheme="minorHAnsi"/>
        </w:rPr>
        <w:t>Eur</w:t>
      </w:r>
      <w:r w:rsidR="00405801" w:rsidRPr="000C2623">
        <w:rPr>
          <w:rFonts w:asciiTheme="minorHAnsi" w:hAnsiTheme="minorHAnsi"/>
        </w:rPr>
        <w:t xml:space="preserve">oguidance </w:t>
      </w:r>
      <w:r w:rsidR="003908F8" w:rsidRPr="000C2623">
        <w:rPr>
          <w:rFonts w:asciiTheme="minorHAnsi" w:hAnsiTheme="minorHAnsi"/>
        </w:rPr>
        <w:t xml:space="preserve">are </w:t>
      </w:r>
      <w:r w:rsidR="00E107D9">
        <w:rPr>
          <w:rFonts w:asciiTheme="minorHAnsi" w:hAnsiTheme="minorHAnsi"/>
        </w:rPr>
        <w:t xml:space="preserve">all </w:t>
      </w:r>
      <w:r w:rsidR="003908F8" w:rsidRPr="000C2623">
        <w:rPr>
          <w:rFonts w:asciiTheme="minorHAnsi" w:hAnsiTheme="minorHAnsi"/>
        </w:rPr>
        <w:t>intended to support greater mobility for students. On a global level national and regional qualifications frameworks have the poten</w:t>
      </w:r>
      <w:r w:rsidR="00E107D9">
        <w:rPr>
          <w:rFonts w:asciiTheme="minorHAnsi" w:hAnsiTheme="minorHAnsi"/>
        </w:rPr>
        <w:t>tial to nurture</w:t>
      </w:r>
      <w:r w:rsidR="003F379B" w:rsidRPr="000C2623">
        <w:rPr>
          <w:rFonts w:asciiTheme="minorHAnsi" w:hAnsiTheme="minorHAnsi"/>
        </w:rPr>
        <w:t xml:space="preserve"> sustainable relationships between diverse education and training and qualifications systems. Ma</w:t>
      </w:r>
      <w:r w:rsidR="00E107D9">
        <w:rPr>
          <w:rFonts w:asciiTheme="minorHAnsi" w:hAnsiTheme="minorHAnsi"/>
        </w:rPr>
        <w:t>ny of these international tools are emerging as assets for</w:t>
      </w:r>
      <w:r w:rsidR="003F379B" w:rsidRPr="000C2623">
        <w:rPr>
          <w:rFonts w:asciiTheme="minorHAnsi" w:hAnsiTheme="minorHAnsi"/>
        </w:rPr>
        <w:t xml:space="preserve"> education and training pr</w:t>
      </w:r>
      <w:r w:rsidR="001218F3">
        <w:rPr>
          <w:rFonts w:asciiTheme="minorHAnsi" w:hAnsiTheme="minorHAnsi"/>
        </w:rPr>
        <w:t>oviders or for</w:t>
      </w:r>
      <w:r w:rsidR="003F379B" w:rsidRPr="000C2623">
        <w:rPr>
          <w:rFonts w:asciiTheme="minorHAnsi" w:hAnsiTheme="minorHAnsi"/>
        </w:rPr>
        <w:t xml:space="preserve"> </w:t>
      </w:r>
      <w:r w:rsidR="003F379B" w:rsidRPr="000C2623">
        <w:rPr>
          <w:rFonts w:asciiTheme="minorHAnsi" w:hAnsiTheme="minorHAnsi"/>
        </w:rPr>
        <w:lastRenderedPageBreak/>
        <w:t>other agencies with an interest in promoting Ireland as a desti</w:t>
      </w:r>
      <w:r w:rsidR="009A546E">
        <w:rPr>
          <w:rFonts w:asciiTheme="minorHAnsi" w:hAnsiTheme="minorHAnsi"/>
        </w:rPr>
        <w:t>nation for international student</w:t>
      </w:r>
      <w:r w:rsidR="003F379B" w:rsidRPr="000C2623">
        <w:rPr>
          <w:rFonts w:asciiTheme="minorHAnsi" w:hAnsiTheme="minorHAnsi"/>
        </w:rPr>
        <w:t xml:space="preserve">s and to assist in building relationships in high priority markets. </w:t>
      </w:r>
    </w:p>
    <w:p w:rsidR="00405801" w:rsidRDefault="00E107D9" w:rsidP="000C2623">
      <w:pPr>
        <w:pStyle w:val="Default"/>
        <w:spacing w:line="360" w:lineRule="auto"/>
        <w:rPr>
          <w:rFonts w:asciiTheme="minorHAnsi" w:hAnsiTheme="minorHAnsi"/>
        </w:rPr>
      </w:pPr>
      <w:r>
        <w:rPr>
          <w:rFonts w:asciiTheme="minorHAnsi" w:hAnsiTheme="minorHAnsi"/>
        </w:rPr>
        <w:t xml:space="preserve">It is recognised that collectively, these policy instruments </w:t>
      </w:r>
      <w:r w:rsidR="00405801" w:rsidRPr="000C2623">
        <w:rPr>
          <w:rFonts w:asciiTheme="minorHAnsi" w:hAnsiTheme="minorHAnsi"/>
        </w:rPr>
        <w:t>lack coherence and a holistic vision</w:t>
      </w:r>
      <w:r>
        <w:rPr>
          <w:rFonts w:asciiTheme="minorHAnsi" w:hAnsiTheme="minorHAnsi"/>
        </w:rPr>
        <w:t>,</w:t>
      </w:r>
      <w:r w:rsidR="00405801" w:rsidRPr="000C2623">
        <w:rPr>
          <w:rStyle w:val="FootnoteReference"/>
          <w:rFonts w:asciiTheme="minorHAnsi" w:hAnsiTheme="minorHAnsi"/>
        </w:rPr>
        <w:footnoteReference w:id="12"/>
      </w:r>
      <w:r w:rsidR="00405801" w:rsidRPr="000C2623">
        <w:rPr>
          <w:rFonts w:asciiTheme="minorHAnsi" w:hAnsiTheme="minorHAnsi"/>
        </w:rPr>
        <w:t xml:space="preserve"> </w:t>
      </w:r>
      <w:r>
        <w:rPr>
          <w:rFonts w:asciiTheme="minorHAnsi" w:hAnsiTheme="minorHAnsi"/>
        </w:rPr>
        <w:t>m</w:t>
      </w:r>
      <w:r w:rsidR="00C562CD" w:rsidRPr="000C2623">
        <w:rPr>
          <w:rFonts w:asciiTheme="minorHAnsi" w:hAnsiTheme="minorHAnsi"/>
        </w:rPr>
        <w:t xml:space="preserve">ore effective promotion of the </w:t>
      </w:r>
      <w:r w:rsidR="00A62E1B" w:rsidRPr="000C2623">
        <w:rPr>
          <w:rFonts w:asciiTheme="minorHAnsi" w:hAnsiTheme="minorHAnsi"/>
        </w:rPr>
        <w:t xml:space="preserve">coherence and simplification of these </w:t>
      </w:r>
      <w:r>
        <w:rPr>
          <w:rFonts w:asciiTheme="minorHAnsi" w:hAnsiTheme="minorHAnsi"/>
        </w:rPr>
        <w:t>European transparency tools has</w:t>
      </w:r>
      <w:r w:rsidR="00C562CD" w:rsidRPr="000C2623">
        <w:rPr>
          <w:rFonts w:asciiTheme="minorHAnsi" w:hAnsiTheme="minorHAnsi"/>
        </w:rPr>
        <w:t xml:space="preserve"> the potential to </w:t>
      </w:r>
      <w:r w:rsidR="00A62E1B" w:rsidRPr="000C2623">
        <w:rPr>
          <w:rFonts w:asciiTheme="minorHAnsi" w:hAnsiTheme="minorHAnsi"/>
        </w:rPr>
        <w:t>create flexible l</w:t>
      </w:r>
      <w:r w:rsidR="00C562CD" w:rsidRPr="000C2623">
        <w:rPr>
          <w:rFonts w:asciiTheme="minorHAnsi" w:hAnsiTheme="minorHAnsi"/>
        </w:rPr>
        <w:t>earner pathways across bo</w:t>
      </w:r>
      <w:r>
        <w:rPr>
          <w:rFonts w:asciiTheme="minorHAnsi" w:hAnsiTheme="minorHAnsi"/>
        </w:rPr>
        <w:t xml:space="preserve">rders and can </w:t>
      </w:r>
      <w:r w:rsidR="007B4A49">
        <w:rPr>
          <w:rFonts w:asciiTheme="minorHAnsi" w:hAnsiTheme="minorHAnsi"/>
        </w:rPr>
        <w:t xml:space="preserve">reduce risks for </w:t>
      </w:r>
      <w:r w:rsidR="00C562CD" w:rsidRPr="000C2623">
        <w:rPr>
          <w:rFonts w:asciiTheme="minorHAnsi" w:hAnsiTheme="minorHAnsi"/>
        </w:rPr>
        <w:t xml:space="preserve">inbound and outbound student mobility. </w:t>
      </w:r>
    </w:p>
    <w:p w:rsidR="008636F0" w:rsidRPr="000C2623" w:rsidRDefault="008636F0" w:rsidP="000C2623">
      <w:pPr>
        <w:pStyle w:val="Default"/>
        <w:spacing w:line="360" w:lineRule="auto"/>
        <w:rPr>
          <w:rFonts w:asciiTheme="minorHAnsi" w:hAnsiTheme="minorHAnsi"/>
        </w:rPr>
      </w:pPr>
    </w:p>
    <w:p w:rsidR="008636F0" w:rsidRDefault="00E54BA1" w:rsidP="008636F0">
      <w:pPr>
        <w:pStyle w:val="Default"/>
        <w:spacing w:line="360" w:lineRule="auto"/>
        <w:rPr>
          <w:rFonts w:asciiTheme="minorHAnsi" w:hAnsiTheme="minorHAnsi" w:cs="Calibri"/>
          <w:bCs/>
        </w:rPr>
      </w:pPr>
      <w:r>
        <w:rPr>
          <w:rFonts w:asciiTheme="minorHAnsi" w:hAnsiTheme="minorHAnsi" w:cs="Calibri"/>
          <w:bCs/>
        </w:rPr>
        <w:t xml:space="preserve">Memoranda of Understanding, co-operation and bi-lateral agreements between QQI and qualifications authorities and quality assurance counterparts in other jurisdictions, help build confidence between qualifications systems and promote greater sharing of market intelligence related to international education. </w:t>
      </w:r>
    </w:p>
    <w:p w:rsidR="00A62E1B" w:rsidRPr="000C2623" w:rsidRDefault="00A62E1B" w:rsidP="000C2623">
      <w:pPr>
        <w:pStyle w:val="Default"/>
        <w:spacing w:line="360" w:lineRule="auto"/>
        <w:rPr>
          <w:rFonts w:asciiTheme="minorHAnsi" w:hAnsiTheme="minorHAnsi"/>
        </w:rPr>
      </w:pPr>
    </w:p>
    <w:p w:rsidR="00A62E1B" w:rsidRDefault="009273B0" w:rsidP="000C2623">
      <w:pPr>
        <w:pStyle w:val="Default"/>
        <w:spacing w:line="360" w:lineRule="auto"/>
        <w:rPr>
          <w:rFonts w:asciiTheme="minorHAnsi" w:hAnsiTheme="minorHAnsi" w:cs="Calibri"/>
          <w:bCs/>
        </w:rPr>
      </w:pPr>
      <w:r w:rsidRPr="000C2623">
        <w:rPr>
          <w:rFonts w:asciiTheme="minorHAnsi" w:hAnsiTheme="minorHAnsi"/>
        </w:rPr>
        <w:t xml:space="preserve">Ireland participates in the Roundtable on </w:t>
      </w:r>
      <w:r w:rsidRPr="000C2623">
        <w:rPr>
          <w:rFonts w:asciiTheme="minorHAnsi" w:hAnsiTheme="minorHAnsi" w:cs="Calibri"/>
        </w:rPr>
        <w:t xml:space="preserve">the Integrity of International Education is a forum at which the UK, Australia, Canada, Ireland, New Zealand and the US meet to share knowledge and experience and identify common areas of practice and concern, as well as scope for collaboration. These types of networks are important, international standards </w:t>
      </w:r>
      <w:r w:rsidR="00A01396" w:rsidRPr="000C2623">
        <w:rPr>
          <w:rFonts w:asciiTheme="minorHAnsi" w:hAnsiTheme="minorHAnsi" w:cs="Calibri"/>
        </w:rPr>
        <w:t>are influent</w:t>
      </w:r>
      <w:r w:rsidRPr="000C2623">
        <w:rPr>
          <w:rFonts w:asciiTheme="minorHAnsi" w:hAnsiTheme="minorHAnsi" w:cs="Calibri"/>
        </w:rPr>
        <w:t xml:space="preserve">ial in a global market place for students and researchers. The </w:t>
      </w:r>
      <w:r w:rsidRPr="000C2623">
        <w:rPr>
          <w:rFonts w:asciiTheme="minorHAnsi" w:hAnsiTheme="minorHAnsi" w:cs="Calibri"/>
          <w:bCs/>
        </w:rPr>
        <w:t>Statement of Principles for the Ethical Recruitment of International Students by Education Agents and Consultants</w:t>
      </w:r>
      <w:r w:rsidRPr="000C2623">
        <w:rPr>
          <w:rStyle w:val="FootnoteReference"/>
          <w:rFonts w:asciiTheme="minorHAnsi" w:hAnsiTheme="minorHAnsi" w:cs="Calibri"/>
          <w:bCs/>
        </w:rPr>
        <w:footnoteReference w:id="13"/>
      </w:r>
      <w:r w:rsidRPr="000C2623">
        <w:rPr>
          <w:rFonts w:asciiTheme="minorHAnsi" w:hAnsiTheme="minorHAnsi" w:cs="Calibri"/>
          <w:bCs/>
        </w:rPr>
        <w:t xml:space="preserve"> is an example of the contribution that such networks can make. </w:t>
      </w:r>
    </w:p>
    <w:p w:rsidR="001218F3" w:rsidRPr="000C2623" w:rsidRDefault="001218F3" w:rsidP="000C2623">
      <w:pPr>
        <w:pStyle w:val="Default"/>
        <w:spacing w:line="360" w:lineRule="auto"/>
        <w:rPr>
          <w:rFonts w:asciiTheme="minorHAnsi" w:hAnsiTheme="minorHAnsi" w:cs="Calibri"/>
          <w:bCs/>
        </w:rPr>
      </w:pPr>
    </w:p>
    <w:p w:rsidR="00F90893" w:rsidRPr="001218F3" w:rsidRDefault="001218F3" w:rsidP="000C2623">
      <w:pPr>
        <w:pStyle w:val="Default"/>
        <w:spacing w:line="360" w:lineRule="auto"/>
        <w:rPr>
          <w:rFonts w:asciiTheme="minorHAnsi" w:hAnsiTheme="minorHAnsi" w:cs="Calibri"/>
          <w:bCs/>
          <w:color w:val="365F91" w:themeColor="accent1" w:themeShade="BF"/>
          <w:sz w:val="32"/>
          <w:szCs w:val="32"/>
        </w:rPr>
      </w:pPr>
      <w:r w:rsidRPr="001218F3">
        <w:rPr>
          <w:rFonts w:asciiTheme="minorHAnsi" w:hAnsiTheme="minorHAnsi" w:cs="Calibri"/>
          <w:bCs/>
          <w:color w:val="365F91" w:themeColor="accent1" w:themeShade="BF"/>
          <w:sz w:val="32"/>
          <w:szCs w:val="32"/>
        </w:rPr>
        <w:t>Concluding Comments</w:t>
      </w:r>
    </w:p>
    <w:p w:rsidR="001218F3" w:rsidRDefault="001218F3" w:rsidP="001218F3">
      <w:pPr>
        <w:autoSpaceDE w:val="0"/>
        <w:autoSpaceDN w:val="0"/>
        <w:adjustRightInd w:val="0"/>
        <w:spacing w:after="0" w:line="360" w:lineRule="auto"/>
        <w:rPr>
          <w:sz w:val="24"/>
          <w:szCs w:val="24"/>
        </w:rPr>
      </w:pPr>
      <w:r w:rsidRPr="000C2623">
        <w:rPr>
          <w:sz w:val="24"/>
          <w:szCs w:val="24"/>
        </w:rPr>
        <w:t>Assuring the quality of education and training provision and qualifications is fundamental to gaining and maintaining the credibility of providers, qualifications and the national system of education and trai</w:t>
      </w:r>
      <w:r w:rsidR="00D111A8">
        <w:rPr>
          <w:sz w:val="24"/>
          <w:szCs w:val="24"/>
        </w:rPr>
        <w:t>ning worldwide. D</w:t>
      </w:r>
      <w:r w:rsidRPr="000C2623">
        <w:rPr>
          <w:sz w:val="24"/>
          <w:szCs w:val="24"/>
        </w:rPr>
        <w:t>isreputable providers of education and training and ‘ed</w:t>
      </w:r>
      <w:r w:rsidR="00D111A8">
        <w:rPr>
          <w:sz w:val="24"/>
          <w:szCs w:val="24"/>
        </w:rPr>
        <w:t>ucational misconduct’ reinforce</w:t>
      </w:r>
      <w:r w:rsidRPr="000C2623">
        <w:rPr>
          <w:sz w:val="24"/>
          <w:szCs w:val="24"/>
        </w:rPr>
        <w:t xml:space="preserve"> the need for clear standards for international education a</w:t>
      </w:r>
      <w:r w:rsidR="00431C90">
        <w:rPr>
          <w:sz w:val="24"/>
          <w:szCs w:val="24"/>
        </w:rPr>
        <w:t xml:space="preserve">nd for strengthened and coordinated regulation of </w:t>
      </w:r>
      <w:r w:rsidR="00B5426B">
        <w:rPr>
          <w:sz w:val="24"/>
          <w:szCs w:val="24"/>
        </w:rPr>
        <w:t xml:space="preserve">the </w:t>
      </w:r>
      <w:r w:rsidR="00431C90">
        <w:rPr>
          <w:sz w:val="24"/>
          <w:szCs w:val="24"/>
        </w:rPr>
        <w:t>education and training, quality, immigration and legal di</w:t>
      </w:r>
      <w:r w:rsidR="00B5426B">
        <w:rPr>
          <w:sz w:val="24"/>
          <w:szCs w:val="24"/>
        </w:rPr>
        <w:t>mensions of international education</w:t>
      </w:r>
      <w:r w:rsidR="00D111A8">
        <w:rPr>
          <w:sz w:val="24"/>
          <w:szCs w:val="24"/>
        </w:rPr>
        <w:t xml:space="preserve">. There are lessons to be learned from the experience of other countries where the reputation for international </w:t>
      </w:r>
      <w:r w:rsidR="00D111A8">
        <w:rPr>
          <w:sz w:val="24"/>
          <w:szCs w:val="24"/>
        </w:rPr>
        <w:lastRenderedPageBreak/>
        <w:t xml:space="preserve">education has been damaged </w:t>
      </w:r>
      <w:r w:rsidR="00CF77F6">
        <w:rPr>
          <w:sz w:val="24"/>
          <w:szCs w:val="24"/>
        </w:rPr>
        <w:t xml:space="preserve">as a result of </w:t>
      </w:r>
      <w:r w:rsidRPr="000C2623">
        <w:rPr>
          <w:sz w:val="24"/>
          <w:szCs w:val="24"/>
        </w:rPr>
        <w:t>growth strate</w:t>
      </w:r>
      <w:r w:rsidR="00CF77F6">
        <w:rPr>
          <w:sz w:val="24"/>
          <w:szCs w:val="24"/>
        </w:rPr>
        <w:t>gies that were</w:t>
      </w:r>
      <w:r w:rsidRPr="000C2623">
        <w:rPr>
          <w:sz w:val="24"/>
          <w:szCs w:val="24"/>
        </w:rPr>
        <w:t xml:space="preserve"> </w:t>
      </w:r>
      <w:r w:rsidR="00026B90">
        <w:rPr>
          <w:sz w:val="24"/>
          <w:szCs w:val="24"/>
        </w:rPr>
        <w:t xml:space="preserve">not accompanied by </w:t>
      </w:r>
      <w:r w:rsidR="008552CA">
        <w:rPr>
          <w:sz w:val="24"/>
          <w:szCs w:val="24"/>
        </w:rPr>
        <w:t xml:space="preserve">the </w:t>
      </w:r>
      <w:r w:rsidR="00026B90">
        <w:rPr>
          <w:sz w:val="24"/>
          <w:szCs w:val="24"/>
        </w:rPr>
        <w:t>appropriate</w:t>
      </w:r>
      <w:r w:rsidRPr="000C2623">
        <w:rPr>
          <w:sz w:val="24"/>
          <w:szCs w:val="24"/>
        </w:rPr>
        <w:t xml:space="preserve"> regulatory and </w:t>
      </w:r>
      <w:r w:rsidR="00617CF6">
        <w:rPr>
          <w:sz w:val="24"/>
          <w:szCs w:val="24"/>
        </w:rPr>
        <w:t xml:space="preserve">student </w:t>
      </w:r>
      <w:r w:rsidRPr="000C2623">
        <w:rPr>
          <w:sz w:val="24"/>
          <w:szCs w:val="24"/>
        </w:rPr>
        <w:t xml:space="preserve">support infrastructure. </w:t>
      </w:r>
    </w:p>
    <w:p w:rsidR="001218F3" w:rsidRPr="000C2623" w:rsidRDefault="001218F3" w:rsidP="001218F3">
      <w:pPr>
        <w:autoSpaceDE w:val="0"/>
        <w:autoSpaceDN w:val="0"/>
        <w:adjustRightInd w:val="0"/>
        <w:spacing w:after="0" w:line="360" w:lineRule="auto"/>
        <w:rPr>
          <w:sz w:val="24"/>
          <w:szCs w:val="24"/>
        </w:rPr>
      </w:pPr>
    </w:p>
    <w:p w:rsidR="00F90893" w:rsidRPr="000C2623" w:rsidRDefault="00F90893" w:rsidP="000C2623">
      <w:pPr>
        <w:pStyle w:val="Default"/>
        <w:spacing w:line="360" w:lineRule="auto"/>
        <w:jc w:val="center"/>
        <w:rPr>
          <w:rFonts w:asciiTheme="minorHAnsi" w:hAnsiTheme="minorHAnsi" w:cs="Calibri"/>
        </w:rPr>
      </w:pPr>
      <w:r w:rsidRPr="000C2623">
        <w:rPr>
          <w:rFonts w:asciiTheme="minorHAnsi" w:hAnsiTheme="minorHAnsi" w:cs="Calibri"/>
          <w:bCs/>
        </w:rPr>
        <w:t>ENDS</w:t>
      </w:r>
    </w:p>
    <w:sectPr w:rsidR="00F90893" w:rsidRPr="000C262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E16" w:rsidRDefault="00D66E16" w:rsidP="008E0133">
      <w:pPr>
        <w:spacing w:after="0" w:line="240" w:lineRule="auto"/>
      </w:pPr>
      <w:r>
        <w:separator/>
      </w:r>
    </w:p>
  </w:endnote>
  <w:endnote w:type="continuationSeparator" w:id="0">
    <w:p w:rsidR="00D66E16" w:rsidRDefault="00D66E16" w:rsidP="008E0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Trade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Helvetica-Light">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BritishCouncilSans-Ligh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012619"/>
      <w:docPartObj>
        <w:docPartGallery w:val="Page Numbers (Bottom of Page)"/>
        <w:docPartUnique/>
      </w:docPartObj>
    </w:sdtPr>
    <w:sdtEndPr>
      <w:rPr>
        <w:noProof/>
      </w:rPr>
    </w:sdtEndPr>
    <w:sdtContent>
      <w:p w:rsidR="00ED0568" w:rsidRDefault="00ED0568">
        <w:pPr>
          <w:pStyle w:val="Footer"/>
          <w:jc w:val="center"/>
        </w:pPr>
        <w:r>
          <w:fldChar w:fldCharType="begin"/>
        </w:r>
        <w:r>
          <w:instrText xml:space="preserve"> PAGE   \* MERGEFORMAT </w:instrText>
        </w:r>
        <w:r>
          <w:fldChar w:fldCharType="separate"/>
        </w:r>
        <w:r w:rsidR="00A85322">
          <w:rPr>
            <w:noProof/>
          </w:rPr>
          <w:t>1</w:t>
        </w:r>
        <w:r>
          <w:rPr>
            <w:noProof/>
          </w:rPr>
          <w:fldChar w:fldCharType="end"/>
        </w:r>
      </w:p>
    </w:sdtContent>
  </w:sdt>
  <w:p w:rsidR="00ED0568" w:rsidRDefault="00ED0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E16" w:rsidRDefault="00D66E16" w:rsidP="008E0133">
      <w:pPr>
        <w:spacing w:after="0" w:line="240" w:lineRule="auto"/>
      </w:pPr>
      <w:r>
        <w:separator/>
      </w:r>
    </w:p>
  </w:footnote>
  <w:footnote w:type="continuationSeparator" w:id="0">
    <w:p w:rsidR="00D66E16" w:rsidRDefault="00D66E16" w:rsidP="008E0133">
      <w:pPr>
        <w:spacing w:after="0" w:line="240" w:lineRule="auto"/>
      </w:pPr>
      <w:r>
        <w:continuationSeparator/>
      </w:r>
    </w:p>
  </w:footnote>
  <w:footnote w:id="1">
    <w:p w:rsidR="009E7268" w:rsidRDefault="009E7268">
      <w:pPr>
        <w:pStyle w:val="FootnoteText"/>
      </w:pPr>
      <w:r>
        <w:rPr>
          <w:rStyle w:val="FootnoteReference"/>
        </w:rPr>
        <w:footnoteRef/>
      </w:r>
      <w:r>
        <w:t xml:space="preserve"> International Education Advisory Council. Discussion Paper for the Development of an International Education for Australia. April 2012. </w:t>
      </w:r>
    </w:p>
  </w:footnote>
  <w:footnote w:id="2">
    <w:p w:rsidR="00B43042" w:rsidRDefault="00B43042" w:rsidP="00B43042">
      <w:pPr>
        <w:pStyle w:val="FootnoteText"/>
      </w:pPr>
      <w:r>
        <w:rPr>
          <w:rStyle w:val="FootnoteReference"/>
        </w:rPr>
        <w:footnoteRef/>
      </w:r>
      <w:r>
        <w:t xml:space="preserve"> Investing in global Relationships: Ireland’s International Education Strategy 2010-2015.  Available at:</w:t>
      </w:r>
      <w:r w:rsidRPr="00C10E7E">
        <w:t xml:space="preserve"> </w:t>
      </w:r>
      <w:hyperlink r:id="rId1" w:history="1">
        <w:r w:rsidRPr="00D644BF">
          <w:rPr>
            <w:rStyle w:val="Hyperlink"/>
          </w:rPr>
          <w:t>http://www.education.ie/en/Publications/Policy-Reports/Ireland-s-International-Education-Strategy-2010-2015-Investing-in-Global-Relationships.pdf</w:t>
        </w:r>
      </w:hyperlink>
    </w:p>
    <w:p w:rsidR="00B43042" w:rsidRDefault="00B43042" w:rsidP="00B43042">
      <w:pPr>
        <w:pStyle w:val="FootnoteText"/>
      </w:pPr>
    </w:p>
  </w:footnote>
  <w:footnote w:id="3">
    <w:p w:rsidR="00797443" w:rsidRDefault="00797443" w:rsidP="00797443">
      <w:pPr>
        <w:pStyle w:val="FootnoteText"/>
      </w:pPr>
      <w:r>
        <w:rPr>
          <w:rStyle w:val="FootnoteReference"/>
        </w:rPr>
        <w:footnoteRef/>
      </w:r>
      <w:r>
        <w:t xml:space="preserve"> IHEQN Provision of Education to International Students. Code of Practice and Guidelines for Irish Higher Education Institutions. 2009.  </w:t>
      </w:r>
      <w:hyperlink r:id="rId2" w:history="1">
        <w:r w:rsidRPr="007D7515">
          <w:rPr>
            <w:rStyle w:val="Hyperlink"/>
          </w:rPr>
          <w:t>http://www.iheqn.ie/_fileupload/File/IHEQN_62439738.pdf</w:t>
        </w:r>
      </w:hyperlink>
    </w:p>
    <w:p w:rsidR="00797443" w:rsidRDefault="00797443">
      <w:pPr>
        <w:pStyle w:val="FootnoteText"/>
      </w:pPr>
    </w:p>
  </w:footnote>
  <w:footnote w:id="4">
    <w:p w:rsidR="00025BE9" w:rsidRDefault="00025BE9">
      <w:pPr>
        <w:pStyle w:val="FootnoteText"/>
      </w:pPr>
      <w:r>
        <w:rPr>
          <w:rStyle w:val="FootnoteReference"/>
        </w:rPr>
        <w:footnoteRef/>
      </w:r>
      <w:r>
        <w:t xml:space="preserve"> International Student Strategy for Australia 2010-2014.  Council of Australian Governments. </w:t>
      </w:r>
    </w:p>
  </w:footnote>
  <w:footnote w:id="5">
    <w:p w:rsidR="00E8209D" w:rsidRDefault="00E8209D">
      <w:pPr>
        <w:pStyle w:val="FootnoteText"/>
      </w:pPr>
      <w:r>
        <w:rPr>
          <w:rStyle w:val="FootnoteReference"/>
        </w:rPr>
        <w:footnoteRef/>
      </w:r>
      <w:r>
        <w:t xml:space="preserve"> Australian Education International </w:t>
      </w:r>
      <w:hyperlink r:id="rId3" w:history="1">
        <w:r w:rsidRPr="00422AF0">
          <w:rPr>
            <w:rStyle w:val="Hyperlink"/>
          </w:rPr>
          <w:t>https://aei.gov.au/Pages/default.aspx</w:t>
        </w:r>
      </w:hyperlink>
    </w:p>
    <w:p w:rsidR="00E8209D" w:rsidRDefault="00E8209D">
      <w:pPr>
        <w:pStyle w:val="FootnoteText"/>
      </w:pPr>
    </w:p>
  </w:footnote>
  <w:footnote w:id="6">
    <w:p w:rsidR="00AF15EA" w:rsidRDefault="00AF15EA">
      <w:pPr>
        <w:pStyle w:val="FootnoteText"/>
      </w:pPr>
      <w:r>
        <w:rPr>
          <w:rStyle w:val="FootnoteReference"/>
        </w:rPr>
        <w:footnoteRef/>
      </w:r>
      <w:r>
        <w:t xml:space="preserve"> Qualifications and Quality Assurance (Education and Training) Act 2012. </w:t>
      </w:r>
      <w:hyperlink r:id="rId4" w:history="1">
        <w:r w:rsidRPr="006A5F11">
          <w:rPr>
            <w:rStyle w:val="Hyperlink"/>
          </w:rPr>
          <w:t>http://www.oireachtas.ie/documents/bills28/acts/2012/a2812.pdf</w:t>
        </w:r>
      </w:hyperlink>
    </w:p>
    <w:p w:rsidR="00AF15EA" w:rsidRDefault="00AF15EA">
      <w:pPr>
        <w:pStyle w:val="FootnoteText"/>
      </w:pPr>
    </w:p>
  </w:footnote>
  <w:footnote w:id="7">
    <w:p w:rsidR="0075189E" w:rsidRDefault="0075189E">
      <w:pPr>
        <w:pStyle w:val="FootnoteText"/>
      </w:pPr>
      <w:r>
        <w:rPr>
          <w:rStyle w:val="FootnoteReference"/>
        </w:rPr>
        <w:footnoteRef/>
      </w:r>
      <w:r>
        <w:t xml:space="preserve"> OECD</w:t>
      </w:r>
      <w:r w:rsidR="00E54BA1">
        <w:t>, Science</w:t>
      </w:r>
      <w:r>
        <w:t xml:space="preserve"> Technology and Industry Scoreboard. International Mobility. </w:t>
      </w:r>
      <w:hyperlink r:id="rId5" w:history="1">
        <w:r w:rsidRPr="00D1380F">
          <w:rPr>
            <w:rStyle w:val="Hyperlink"/>
          </w:rPr>
          <w:t>http://www.oecd-ilibrary.org/sites/sti_scoreboard-2011-en/03/05/index.html?contentType=/ns/Chapter,/ns/StatisticalPublication&amp;itemId=/content/chapter/sti_scoreboard-2011-26-en&amp;containerItemId=/content/serial/20725345&amp;accessItemIds=&amp;mimeType=text/html</w:t>
        </w:r>
      </w:hyperlink>
    </w:p>
    <w:p w:rsidR="0075189E" w:rsidRDefault="0075189E">
      <w:pPr>
        <w:pStyle w:val="FootnoteText"/>
      </w:pPr>
    </w:p>
  </w:footnote>
  <w:footnote w:id="8">
    <w:p w:rsidR="00B47A98" w:rsidRDefault="00B47A98">
      <w:pPr>
        <w:pStyle w:val="FootnoteText"/>
      </w:pPr>
      <w:r>
        <w:rPr>
          <w:rStyle w:val="FootnoteReference"/>
        </w:rPr>
        <w:footnoteRef/>
      </w:r>
      <w:r>
        <w:t xml:space="preserve"> </w:t>
      </w:r>
      <w:r w:rsidR="00E54BA1">
        <w:t>QAA Review</w:t>
      </w:r>
      <w:r>
        <w:t xml:space="preserve"> of Transnational Education in Mainland China 2012. </w:t>
      </w:r>
      <w:hyperlink r:id="rId6" w:history="1">
        <w:r w:rsidRPr="006A5F11">
          <w:rPr>
            <w:rStyle w:val="Hyperlink"/>
          </w:rPr>
          <w:t>http://www.qaa.ac.uk/InstitutionReports/types-of-review/overseas/Pages/China-2012.aspx</w:t>
        </w:r>
      </w:hyperlink>
    </w:p>
    <w:p w:rsidR="00B47A98" w:rsidRDefault="00B47A98">
      <w:pPr>
        <w:pStyle w:val="FootnoteText"/>
      </w:pPr>
    </w:p>
  </w:footnote>
  <w:footnote w:id="9">
    <w:p w:rsidR="008636F0" w:rsidRDefault="008636F0">
      <w:pPr>
        <w:pStyle w:val="FootnoteText"/>
      </w:pPr>
      <w:r>
        <w:rPr>
          <w:rStyle w:val="FootnoteReference"/>
        </w:rPr>
        <w:footnoteRef/>
      </w:r>
      <w:r>
        <w:t xml:space="preserve"> International Students in Irish Higher Education 2011-2012. Enterprise Ireland 2013. </w:t>
      </w:r>
      <w:hyperlink r:id="rId7" w:history="1">
        <w:r w:rsidRPr="006A5F11">
          <w:rPr>
            <w:rStyle w:val="Hyperlink"/>
          </w:rPr>
          <w:t>http://www.educationinireland.com/en/publications/international-students-in-higher-education-in-ireland-2011-to-2012.pdf</w:t>
        </w:r>
      </w:hyperlink>
    </w:p>
    <w:p w:rsidR="008636F0" w:rsidRDefault="008636F0">
      <w:pPr>
        <w:pStyle w:val="FootnoteText"/>
      </w:pPr>
    </w:p>
  </w:footnote>
  <w:footnote w:id="10">
    <w:p w:rsidR="00DF21B7" w:rsidRDefault="00DF21B7">
      <w:pPr>
        <w:pStyle w:val="FootnoteText"/>
      </w:pPr>
      <w:r>
        <w:rPr>
          <w:rStyle w:val="FootnoteReference"/>
        </w:rPr>
        <w:footnoteRef/>
      </w:r>
      <w:r>
        <w:t xml:space="preserve"> IHEQN Guidelines for the approval, monitoring and review of collaborative and transnational provision. IHEQN 2013.  </w:t>
      </w:r>
      <w:hyperlink r:id="rId8" w:history="1">
        <w:r w:rsidRPr="006A5F11">
          <w:rPr>
            <w:rStyle w:val="Hyperlink"/>
          </w:rPr>
          <w:t>http://www.iheqn.ie/_fileupload/File/IHEQN_Guidelines_Collaborative_Provision_FINAL_21May13_55218605.pdf</w:t>
        </w:r>
      </w:hyperlink>
    </w:p>
    <w:p w:rsidR="00DF21B7" w:rsidRDefault="00DF21B7">
      <w:pPr>
        <w:pStyle w:val="FootnoteText"/>
      </w:pPr>
    </w:p>
  </w:footnote>
  <w:footnote w:id="11">
    <w:p w:rsidR="00C10E7E" w:rsidRDefault="00C10E7E">
      <w:pPr>
        <w:pStyle w:val="FootnoteText"/>
      </w:pPr>
      <w:r>
        <w:rPr>
          <w:rStyle w:val="FootnoteReference"/>
        </w:rPr>
        <w:footnoteRef/>
      </w:r>
      <w:r>
        <w:t xml:space="preserve"> </w:t>
      </w:r>
      <w:r w:rsidR="008636F0">
        <w:t xml:space="preserve">British Council Going Global 2013. The shape of things to come. </w:t>
      </w:r>
      <w:r w:rsidR="00D02396">
        <w:t xml:space="preserve">P 15.  </w:t>
      </w:r>
      <w:hyperlink r:id="rId9" w:history="1">
        <w:r w:rsidR="00D02396" w:rsidRPr="00D644BF">
          <w:rPr>
            <w:rStyle w:val="Hyperlink"/>
          </w:rPr>
          <w:t>https://ihe.britishcouncil.org/sites/default/files/import-content/the_shape_of_things_to_come_2.pdf</w:t>
        </w:r>
      </w:hyperlink>
    </w:p>
    <w:p w:rsidR="00D02396" w:rsidRDefault="00D02396">
      <w:pPr>
        <w:pStyle w:val="FootnoteText"/>
      </w:pPr>
    </w:p>
  </w:footnote>
  <w:footnote w:id="12">
    <w:p w:rsidR="00405801" w:rsidRPr="00405801" w:rsidRDefault="00405801" w:rsidP="00405801">
      <w:pPr>
        <w:autoSpaceDE w:val="0"/>
        <w:autoSpaceDN w:val="0"/>
        <w:adjustRightInd w:val="0"/>
        <w:spacing w:after="0" w:line="240" w:lineRule="auto"/>
        <w:rPr>
          <w:rFonts w:ascii="TimesNewRoman" w:hAnsi="TimesNewRoman" w:cs="TimesNewRoman"/>
          <w:sz w:val="24"/>
          <w:szCs w:val="24"/>
        </w:rPr>
      </w:pPr>
      <w:r>
        <w:rPr>
          <w:rStyle w:val="FootnoteReference"/>
        </w:rPr>
        <w:footnoteRef/>
      </w:r>
      <w:r>
        <w:t xml:space="preserve"> European Commission </w:t>
      </w:r>
      <w:r w:rsidRPr="00405801">
        <w:rPr>
          <w:rFonts w:cs="Times New Roman"/>
          <w:bCs/>
          <w:sz w:val="20"/>
          <w:szCs w:val="20"/>
        </w:rPr>
        <w:t>Rethinking Education:</w:t>
      </w:r>
      <w:r>
        <w:rPr>
          <w:rFonts w:cs="Times New Roman"/>
          <w:bCs/>
        </w:rPr>
        <w:t xml:space="preserve"> </w:t>
      </w:r>
      <w:r w:rsidRPr="00405801">
        <w:rPr>
          <w:rFonts w:cs="Times New Roman"/>
          <w:bCs/>
          <w:sz w:val="20"/>
          <w:szCs w:val="20"/>
        </w:rPr>
        <w:t>Investing in skills for better socio-economic outcomes</w:t>
      </w:r>
      <w:r>
        <w:rPr>
          <w:rFonts w:cs="Times New Roman"/>
          <w:bCs/>
        </w:rPr>
        <w:t xml:space="preserve">.          </w:t>
      </w:r>
      <w:r w:rsidRPr="00405801">
        <w:rPr>
          <w:rFonts w:cs="TimesNewRoman"/>
          <w:sz w:val="20"/>
          <w:szCs w:val="20"/>
        </w:rPr>
        <w:t>Strasbourg, 20.11.2012 COM(2012) 669 final</w:t>
      </w:r>
    </w:p>
  </w:footnote>
  <w:footnote w:id="13">
    <w:p w:rsidR="009273B0" w:rsidRDefault="009273B0">
      <w:pPr>
        <w:pStyle w:val="FootnoteText"/>
      </w:pPr>
      <w:r>
        <w:rPr>
          <w:rStyle w:val="FootnoteReference"/>
        </w:rPr>
        <w:footnoteRef/>
      </w:r>
      <w:r>
        <w:t xml:space="preserve"> </w:t>
      </w:r>
      <w:r w:rsidR="00A01396">
        <w:t xml:space="preserve">The Statement of Principles for the Ethical Recruitment of International Students by Education Agents and Consultants. 2011. </w:t>
      </w:r>
      <w:hyperlink r:id="rId10" w:history="1">
        <w:r w:rsidR="00A01396" w:rsidRPr="007D7515">
          <w:rPr>
            <w:rStyle w:val="Hyperlink"/>
          </w:rPr>
          <w:t>https://aei.gov.au/News/Latest-News/Documents/StatementofPrinciples.pdf</w:t>
        </w:r>
      </w:hyperlink>
    </w:p>
    <w:p w:rsidR="00A01396" w:rsidRDefault="00A0139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4350"/>
    <w:multiLevelType w:val="hybridMultilevel"/>
    <w:tmpl w:val="34F060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D9C43DE"/>
    <w:multiLevelType w:val="hybridMultilevel"/>
    <w:tmpl w:val="22266B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38A476B"/>
    <w:multiLevelType w:val="hybridMultilevel"/>
    <w:tmpl w:val="F622FE74"/>
    <w:lvl w:ilvl="0" w:tplc="AA2E547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6543686"/>
    <w:multiLevelType w:val="multilevel"/>
    <w:tmpl w:val="D6FE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6960CA"/>
    <w:multiLevelType w:val="hybridMultilevel"/>
    <w:tmpl w:val="03EE32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17172F9"/>
    <w:multiLevelType w:val="hybridMultilevel"/>
    <w:tmpl w:val="78F26DA8"/>
    <w:lvl w:ilvl="0" w:tplc="D9647726">
      <w:start w:val="3"/>
      <w:numFmt w:val="bullet"/>
      <w:lvlText w:val="-"/>
      <w:lvlJc w:val="left"/>
      <w:pPr>
        <w:ind w:left="1440" w:hanging="360"/>
      </w:pPr>
      <w:rPr>
        <w:rFonts w:ascii="Calibri" w:eastAsia="Calibri" w:hAnsi="Calibri"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670627A4"/>
    <w:multiLevelType w:val="hybridMultilevel"/>
    <w:tmpl w:val="B768AE70"/>
    <w:lvl w:ilvl="0" w:tplc="2C205066">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nsid w:val="6C7D3DAF"/>
    <w:multiLevelType w:val="hybridMultilevel"/>
    <w:tmpl w:val="588C75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88"/>
    <w:rsid w:val="00005E4B"/>
    <w:rsid w:val="00022CB8"/>
    <w:rsid w:val="00025BE9"/>
    <w:rsid w:val="00026B90"/>
    <w:rsid w:val="000A311D"/>
    <w:rsid w:val="000C1860"/>
    <w:rsid w:val="000C2623"/>
    <w:rsid w:val="000F4879"/>
    <w:rsid w:val="000F6FF0"/>
    <w:rsid w:val="001218F3"/>
    <w:rsid w:val="00126D6A"/>
    <w:rsid w:val="00141AA8"/>
    <w:rsid w:val="00143680"/>
    <w:rsid w:val="00143856"/>
    <w:rsid w:val="001460B6"/>
    <w:rsid w:val="00156D14"/>
    <w:rsid w:val="00167DF7"/>
    <w:rsid w:val="001A2A37"/>
    <w:rsid w:val="001A571C"/>
    <w:rsid w:val="001C113B"/>
    <w:rsid w:val="001C5995"/>
    <w:rsid w:val="001F1FB5"/>
    <w:rsid w:val="00211EED"/>
    <w:rsid w:val="00226FA5"/>
    <w:rsid w:val="002550CA"/>
    <w:rsid w:val="0027795E"/>
    <w:rsid w:val="00280219"/>
    <w:rsid w:val="00283CFB"/>
    <w:rsid w:val="00296E4A"/>
    <w:rsid w:val="002B6F70"/>
    <w:rsid w:val="002D7489"/>
    <w:rsid w:val="0031625B"/>
    <w:rsid w:val="00324735"/>
    <w:rsid w:val="00365434"/>
    <w:rsid w:val="003908F8"/>
    <w:rsid w:val="003A59EC"/>
    <w:rsid w:val="003E396B"/>
    <w:rsid w:val="003F379B"/>
    <w:rsid w:val="0040067B"/>
    <w:rsid w:val="00403DAB"/>
    <w:rsid w:val="004047C6"/>
    <w:rsid w:val="00405801"/>
    <w:rsid w:val="004227AC"/>
    <w:rsid w:val="00431C90"/>
    <w:rsid w:val="00466B88"/>
    <w:rsid w:val="00513400"/>
    <w:rsid w:val="00523ABD"/>
    <w:rsid w:val="00535F52"/>
    <w:rsid w:val="005428B9"/>
    <w:rsid w:val="00556895"/>
    <w:rsid w:val="00557619"/>
    <w:rsid w:val="00596068"/>
    <w:rsid w:val="005B6804"/>
    <w:rsid w:val="005C4A99"/>
    <w:rsid w:val="00617CF6"/>
    <w:rsid w:val="00617F20"/>
    <w:rsid w:val="00660C88"/>
    <w:rsid w:val="0067284C"/>
    <w:rsid w:val="0072774B"/>
    <w:rsid w:val="0075189E"/>
    <w:rsid w:val="00764678"/>
    <w:rsid w:val="00797443"/>
    <w:rsid w:val="007B4A49"/>
    <w:rsid w:val="007F36B6"/>
    <w:rsid w:val="007F64FA"/>
    <w:rsid w:val="007F673B"/>
    <w:rsid w:val="00803133"/>
    <w:rsid w:val="00820078"/>
    <w:rsid w:val="008248E0"/>
    <w:rsid w:val="00850F41"/>
    <w:rsid w:val="008552CA"/>
    <w:rsid w:val="008636F0"/>
    <w:rsid w:val="008955EC"/>
    <w:rsid w:val="008C0AA8"/>
    <w:rsid w:val="008E0133"/>
    <w:rsid w:val="008E1AA2"/>
    <w:rsid w:val="008E37E6"/>
    <w:rsid w:val="008F2F07"/>
    <w:rsid w:val="008F62B3"/>
    <w:rsid w:val="00903C60"/>
    <w:rsid w:val="0090689C"/>
    <w:rsid w:val="00925277"/>
    <w:rsid w:val="009273B0"/>
    <w:rsid w:val="00957CFB"/>
    <w:rsid w:val="00963530"/>
    <w:rsid w:val="00965A33"/>
    <w:rsid w:val="00965C27"/>
    <w:rsid w:val="00971DD8"/>
    <w:rsid w:val="00997158"/>
    <w:rsid w:val="009A546E"/>
    <w:rsid w:val="009E7268"/>
    <w:rsid w:val="009F6519"/>
    <w:rsid w:val="009F6C81"/>
    <w:rsid w:val="00A01396"/>
    <w:rsid w:val="00A24CF7"/>
    <w:rsid w:val="00A24F3A"/>
    <w:rsid w:val="00A47EE4"/>
    <w:rsid w:val="00A51447"/>
    <w:rsid w:val="00A62E1B"/>
    <w:rsid w:val="00A72308"/>
    <w:rsid w:val="00A73CDA"/>
    <w:rsid w:val="00A83CF0"/>
    <w:rsid w:val="00A85322"/>
    <w:rsid w:val="00A92687"/>
    <w:rsid w:val="00AF15EA"/>
    <w:rsid w:val="00B17457"/>
    <w:rsid w:val="00B3259C"/>
    <w:rsid w:val="00B36858"/>
    <w:rsid w:val="00B43042"/>
    <w:rsid w:val="00B47A98"/>
    <w:rsid w:val="00B5426B"/>
    <w:rsid w:val="00B73FA8"/>
    <w:rsid w:val="00B80265"/>
    <w:rsid w:val="00B86990"/>
    <w:rsid w:val="00BA50EA"/>
    <w:rsid w:val="00C10E7E"/>
    <w:rsid w:val="00C4717E"/>
    <w:rsid w:val="00C562CD"/>
    <w:rsid w:val="00C61DBB"/>
    <w:rsid w:val="00C6776A"/>
    <w:rsid w:val="00CE31F3"/>
    <w:rsid w:val="00CF57CA"/>
    <w:rsid w:val="00CF77F6"/>
    <w:rsid w:val="00D02396"/>
    <w:rsid w:val="00D111A8"/>
    <w:rsid w:val="00D1515A"/>
    <w:rsid w:val="00D2698E"/>
    <w:rsid w:val="00D43E36"/>
    <w:rsid w:val="00D66E16"/>
    <w:rsid w:val="00D71B3A"/>
    <w:rsid w:val="00D83869"/>
    <w:rsid w:val="00D97163"/>
    <w:rsid w:val="00DA4701"/>
    <w:rsid w:val="00DA51BB"/>
    <w:rsid w:val="00DB5684"/>
    <w:rsid w:val="00DC47B4"/>
    <w:rsid w:val="00DF21B7"/>
    <w:rsid w:val="00E107D9"/>
    <w:rsid w:val="00E1513D"/>
    <w:rsid w:val="00E37AF0"/>
    <w:rsid w:val="00E460CD"/>
    <w:rsid w:val="00E54BA1"/>
    <w:rsid w:val="00E638A6"/>
    <w:rsid w:val="00E67E38"/>
    <w:rsid w:val="00E815C3"/>
    <w:rsid w:val="00E8209D"/>
    <w:rsid w:val="00EC69B1"/>
    <w:rsid w:val="00EC781B"/>
    <w:rsid w:val="00ED0568"/>
    <w:rsid w:val="00EF1CF7"/>
    <w:rsid w:val="00F7007C"/>
    <w:rsid w:val="00F86475"/>
    <w:rsid w:val="00F90893"/>
    <w:rsid w:val="00F91B7E"/>
    <w:rsid w:val="00FE5B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01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133"/>
    <w:rPr>
      <w:sz w:val="20"/>
      <w:szCs w:val="20"/>
    </w:rPr>
  </w:style>
  <w:style w:type="character" w:styleId="FootnoteReference">
    <w:name w:val="footnote reference"/>
    <w:basedOn w:val="DefaultParagraphFont"/>
    <w:uiPriority w:val="99"/>
    <w:semiHidden/>
    <w:unhideWhenUsed/>
    <w:rsid w:val="008E0133"/>
    <w:rPr>
      <w:vertAlign w:val="superscript"/>
    </w:rPr>
  </w:style>
  <w:style w:type="character" w:styleId="Hyperlink">
    <w:name w:val="Hyperlink"/>
    <w:basedOn w:val="DefaultParagraphFont"/>
    <w:uiPriority w:val="99"/>
    <w:unhideWhenUsed/>
    <w:rsid w:val="00C10E7E"/>
    <w:rPr>
      <w:color w:val="0000FF" w:themeColor="hyperlink"/>
      <w:u w:val="single"/>
    </w:rPr>
  </w:style>
  <w:style w:type="paragraph" w:styleId="Header">
    <w:name w:val="header"/>
    <w:basedOn w:val="Normal"/>
    <w:link w:val="HeaderChar"/>
    <w:uiPriority w:val="99"/>
    <w:unhideWhenUsed/>
    <w:rsid w:val="00ED0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568"/>
  </w:style>
  <w:style w:type="paragraph" w:styleId="Footer">
    <w:name w:val="footer"/>
    <w:basedOn w:val="Normal"/>
    <w:link w:val="FooterChar"/>
    <w:uiPriority w:val="99"/>
    <w:unhideWhenUsed/>
    <w:rsid w:val="00ED0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568"/>
  </w:style>
  <w:style w:type="paragraph" w:styleId="ListParagraph">
    <w:name w:val="List Paragraph"/>
    <w:basedOn w:val="Normal"/>
    <w:uiPriority w:val="34"/>
    <w:qFormat/>
    <w:rsid w:val="00B47A98"/>
    <w:pPr>
      <w:ind w:left="720"/>
      <w:contextualSpacing/>
    </w:pPr>
  </w:style>
  <w:style w:type="paragraph" w:customStyle="1" w:styleId="Default">
    <w:name w:val="Default"/>
    <w:rsid w:val="00280219"/>
    <w:pPr>
      <w:autoSpaceDE w:val="0"/>
      <w:autoSpaceDN w:val="0"/>
      <w:adjustRightInd w:val="0"/>
      <w:spacing w:after="0" w:line="240" w:lineRule="auto"/>
    </w:pPr>
    <w:rPr>
      <w:rFonts w:ascii="TradeGothic" w:hAnsi="TradeGothic" w:cs="TradeGothic"/>
      <w:color w:val="000000"/>
      <w:sz w:val="24"/>
      <w:szCs w:val="24"/>
    </w:rPr>
  </w:style>
  <w:style w:type="paragraph" w:styleId="BalloonText">
    <w:name w:val="Balloon Text"/>
    <w:basedOn w:val="Normal"/>
    <w:link w:val="BalloonTextChar"/>
    <w:uiPriority w:val="99"/>
    <w:semiHidden/>
    <w:unhideWhenUsed/>
    <w:rsid w:val="00022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01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133"/>
    <w:rPr>
      <w:sz w:val="20"/>
      <w:szCs w:val="20"/>
    </w:rPr>
  </w:style>
  <w:style w:type="character" w:styleId="FootnoteReference">
    <w:name w:val="footnote reference"/>
    <w:basedOn w:val="DefaultParagraphFont"/>
    <w:uiPriority w:val="99"/>
    <w:semiHidden/>
    <w:unhideWhenUsed/>
    <w:rsid w:val="008E0133"/>
    <w:rPr>
      <w:vertAlign w:val="superscript"/>
    </w:rPr>
  </w:style>
  <w:style w:type="character" w:styleId="Hyperlink">
    <w:name w:val="Hyperlink"/>
    <w:basedOn w:val="DefaultParagraphFont"/>
    <w:uiPriority w:val="99"/>
    <w:unhideWhenUsed/>
    <w:rsid w:val="00C10E7E"/>
    <w:rPr>
      <w:color w:val="0000FF" w:themeColor="hyperlink"/>
      <w:u w:val="single"/>
    </w:rPr>
  </w:style>
  <w:style w:type="paragraph" w:styleId="Header">
    <w:name w:val="header"/>
    <w:basedOn w:val="Normal"/>
    <w:link w:val="HeaderChar"/>
    <w:uiPriority w:val="99"/>
    <w:unhideWhenUsed/>
    <w:rsid w:val="00ED0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568"/>
  </w:style>
  <w:style w:type="paragraph" w:styleId="Footer">
    <w:name w:val="footer"/>
    <w:basedOn w:val="Normal"/>
    <w:link w:val="FooterChar"/>
    <w:uiPriority w:val="99"/>
    <w:unhideWhenUsed/>
    <w:rsid w:val="00ED0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568"/>
  </w:style>
  <w:style w:type="paragraph" w:styleId="ListParagraph">
    <w:name w:val="List Paragraph"/>
    <w:basedOn w:val="Normal"/>
    <w:uiPriority w:val="34"/>
    <w:qFormat/>
    <w:rsid w:val="00B47A98"/>
    <w:pPr>
      <w:ind w:left="720"/>
      <w:contextualSpacing/>
    </w:pPr>
  </w:style>
  <w:style w:type="paragraph" w:customStyle="1" w:styleId="Default">
    <w:name w:val="Default"/>
    <w:rsid w:val="00280219"/>
    <w:pPr>
      <w:autoSpaceDE w:val="0"/>
      <w:autoSpaceDN w:val="0"/>
      <w:adjustRightInd w:val="0"/>
      <w:spacing w:after="0" w:line="240" w:lineRule="auto"/>
    </w:pPr>
    <w:rPr>
      <w:rFonts w:ascii="TradeGothic" w:hAnsi="TradeGothic" w:cs="TradeGothic"/>
      <w:color w:val="000000"/>
      <w:sz w:val="24"/>
      <w:szCs w:val="24"/>
    </w:rPr>
  </w:style>
  <w:style w:type="paragraph" w:styleId="BalloonText">
    <w:name w:val="Balloon Text"/>
    <w:basedOn w:val="Normal"/>
    <w:link w:val="BalloonTextChar"/>
    <w:uiPriority w:val="99"/>
    <w:semiHidden/>
    <w:unhideWhenUsed/>
    <w:rsid w:val="00022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5225">
      <w:bodyDiv w:val="1"/>
      <w:marLeft w:val="0"/>
      <w:marRight w:val="0"/>
      <w:marTop w:val="0"/>
      <w:marBottom w:val="0"/>
      <w:divBdr>
        <w:top w:val="none" w:sz="0" w:space="0" w:color="auto"/>
        <w:left w:val="none" w:sz="0" w:space="0" w:color="auto"/>
        <w:bottom w:val="none" w:sz="0" w:space="0" w:color="auto"/>
        <w:right w:val="none" w:sz="0" w:space="0" w:color="auto"/>
      </w:divBdr>
    </w:div>
    <w:div w:id="529340174">
      <w:bodyDiv w:val="1"/>
      <w:marLeft w:val="0"/>
      <w:marRight w:val="0"/>
      <w:marTop w:val="0"/>
      <w:marBottom w:val="0"/>
      <w:divBdr>
        <w:top w:val="none" w:sz="0" w:space="0" w:color="auto"/>
        <w:left w:val="none" w:sz="0" w:space="0" w:color="auto"/>
        <w:bottom w:val="none" w:sz="0" w:space="0" w:color="auto"/>
        <w:right w:val="none" w:sz="0" w:space="0" w:color="auto"/>
      </w:divBdr>
    </w:div>
    <w:div w:id="1372271134">
      <w:bodyDiv w:val="1"/>
      <w:marLeft w:val="0"/>
      <w:marRight w:val="0"/>
      <w:marTop w:val="0"/>
      <w:marBottom w:val="0"/>
      <w:divBdr>
        <w:top w:val="none" w:sz="0" w:space="0" w:color="auto"/>
        <w:left w:val="none" w:sz="0" w:space="0" w:color="auto"/>
        <w:bottom w:val="none" w:sz="0" w:space="0" w:color="auto"/>
        <w:right w:val="none" w:sz="0" w:space="0" w:color="auto"/>
      </w:divBdr>
    </w:div>
    <w:div w:id="1548224580">
      <w:bodyDiv w:val="1"/>
      <w:marLeft w:val="0"/>
      <w:marRight w:val="0"/>
      <w:marTop w:val="0"/>
      <w:marBottom w:val="0"/>
      <w:divBdr>
        <w:top w:val="none" w:sz="0" w:space="0" w:color="auto"/>
        <w:left w:val="none" w:sz="0" w:space="0" w:color="auto"/>
        <w:bottom w:val="none" w:sz="0" w:space="0" w:color="auto"/>
        <w:right w:val="none" w:sz="0" w:space="0" w:color="auto"/>
      </w:divBdr>
    </w:div>
    <w:div w:id="180029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graduate.org/services/international-student-barometer-and-student-barometer/"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studentsurvey.ie/wordpres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heqn.ie/_fileupload/File/IHEQN_Guidelines_Collaborative_Provision_FINAL_21May13_55218605.pdf" TargetMode="External"/><Relationship Id="rId3" Type="http://schemas.openxmlformats.org/officeDocument/2006/relationships/hyperlink" Target="https://aei.gov.au/Pages/default.aspx" TargetMode="External"/><Relationship Id="rId7" Type="http://schemas.openxmlformats.org/officeDocument/2006/relationships/hyperlink" Target="http://www.educationinireland.com/en/publications/international-students-in-higher-education-in-ireland-2011-to-2012.pdf" TargetMode="External"/><Relationship Id="rId2" Type="http://schemas.openxmlformats.org/officeDocument/2006/relationships/hyperlink" Target="http://www.iheqn.ie/_fileupload/File/IHEQN_62439738.pdf" TargetMode="External"/><Relationship Id="rId1" Type="http://schemas.openxmlformats.org/officeDocument/2006/relationships/hyperlink" Target="http://www.education.ie/en/Publications/Policy-Reports/Ireland-s-International-Education-Strategy-2010-2015-Investing-in-Global-Relationships.pdf" TargetMode="External"/><Relationship Id="rId6" Type="http://schemas.openxmlformats.org/officeDocument/2006/relationships/hyperlink" Target="http://www.qaa.ac.uk/InstitutionReports/types-of-review/overseas/Pages/China-2012.aspx" TargetMode="External"/><Relationship Id="rId5" Type="http://schemas.openxmlformats.org/officeDocument/2006/relationships/hyperlink" Target="http://www.oecd-ilibrary.org/sites/sti_scoreboard-2011-en/03/05/index.html?contentType=/ns/Chapter,/ns/StatisticalPublication&amp;itemId=/content/chapter/sti_scoreboard-2011-26-en&amp;containerItemId=/content/serial/20725345&amp;accessItemIds=&amp;mimeType=text/html" TargetMode="External"/><Relationship Id="rId10" Type="http://schemas.openxmlformats.org/officeDocument/2006/relationships/hyperlink" Target="https://aei.gov.au/News/Latest-News/Documents/StatementofPrinciples.pdf" TargetMode="External"/><Relationship Id="rId4" Type="http://schemas.openxmlformats.org/officeDocument/2006/relationships/hyperlink" Target="http://www.oireachtas.ie/documents/bills28/acts/2012/a2812.pdf" TargetMode="External"/><Relationship Id="rId9" Type="http://schemas.openxmlformats.org/officeDocument/2006/relationships/hyperlink" Target="https://ihe.britishcouncil.org/sites/default/files/import-content/the_shape_of_things_to_come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661b69dde1f718f971e8d78d58524755">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2edf80f0a4e9057cb51ec7870d28d60c"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Props1.xml><?xml version="1.0" encoding="utf-8"?>
<ds:datastoreItem xmlns:ds="http://schemas.openxmlformats.org/officeDocument/2006/customXml" ds:itemID="{53F2D464-39C3-41EA-95B1-2AD5D73B8585}"/>
</file>

<file path=customXml/itemProps2.xml><?xml version="1.0" encoding="utf-8"?>
<ds:datastoreItem xmlns:ds="http://schemas.openxmlformats.org/officeDocument/2006/customXml" ds:itemID="{172D26B7-F495-49EF-AEA1-3548727BE247}"/>
</file>

<file path=customXml/itemProps3.xml><?xml version="1.0" encoding="utf-8"?>
<ds:datastoreItem xmlns:ds="http://schemas.openxmlformats.org/officeDocument/2006/customXml" ds:itemID="{D9B1F86E-9FC0-4973-93D5-136737848AE9}"/>
</file>

<file path=customXml/itemProps4.xml><?xml version="1.0" encoding="utf-8"?>
<ds:datastoreItem xmlns:ds="http://schemas.openxmlformats.org/officeDocument/2006/customXml" ds:itemID="{42CDC780-086C-4083-94F8-BC5AA7C8E750}"/>
</file>

<file path=docProps/app.xml><?xml version="1.0" encoding="utf-8"?>
<Properties xmlns="http://schemas.openxmlformats.org/officeDocument/2006/extended-properties" xmlns:vt="http://schemas.openxmlformats.org/officeDocument/2006/docPropsVTypes">
  <Template>Normal</Template>
  <TotalTime>0</TotalTime>
  <Pages>15</Pages>
  <Words>3907</Words>
  <Characters>22275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O'Connor</dc:creator>
  <cp:lastModifiedBy>Deirdre Miller</cp:lastModifiedBy>
  <cp:revision>2</cp:revision>
  <dcterms:created xsi:type="dcterms:W3CDTF">2014-05-21T11:47:00Z</dcterms:created>
  <dcterms:modified xsi:type="dcterms:W3CDTF">2014-05-21T11:47:00Z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y fmtid="{D5CDD505-2E9C-101B-9397-08002B2CF9AE}" pid="3" name="Document Keywords">
    <vt:lpwstr>53;#Submission|f9bb8500-96c6-4368-9eb5-b397ea009667</vt:lpwstr>
  </property>
  <property fmtid="{D5CDD505-2E9C-101B-9397-08002B2CF9AE}" pid="4" name="Document Keywords Formatted">
    <vt:lpwstr>Submission</vt:lpwstr>
  </property>
  <property fmtid="{D5CDD505-2E9C-101B-9397-08002B2CF9AE}" pid="5" name="ha675e17708345bdbcf07554cc7fc21b">
    <vt:lpwstr>Submission|f9bb8500-96c6-4368-9eb5-b397ea009667</vt:lpwstr>
  </property>
  <property fmtid="{D5CDD505-2E9C-101B-9397-08002B2CF9AE}" pid="6" name="Publication Set Document Link">
    <vt:lpwstr>https://qqi365-public.sharepoint.com/_layouts/15/wrkstat.aspx?List=f04193f2-1383-4e5d-85cd-d54ab328d608&amp;WorkflowInstanceName=efb3c987-d4e7-42c6-8de2-3c95029d4739, Publication Set Document Type</vt:lpwstr>
  </property>
  <property fmtid="{D5CDD505-2E9C-101B-9397-08002B2CF9AE}" pid="7" name="Publication Set Lookup Return Values">
    <vt:lpwstr>https://qqi365-public.sharepoint.com/_layouts/15/wrkstat.aspx?List=f04193f2-1383-4e5d-85cd-d54ab328d608&amp;WorkflowInstanceName=c9b5e7d5-89b2-4f0b-89fc-04a387f7a2b8, Keywords Workflow</vt:lpwstr>
  </property>
  <property fmtid="{D5CDD505-2E9C-101B-9397-08002B2CF9AE}" pid="8" name="Document Publication Date">
    <vt:filetime>2013-09-30T23:00:00Z</vt:filetime>
  </property>
  <property fmtid="{D5CDD505-2E9C-101B-9397-08002B2CF9AE}" pid="9" name="Document Description">
    <vt:lpwstr>QQI Submission on the Review of Ireland’s International Education Strategy</vt:lpwstr>
  </property>
  <property fmtid="{D5CDD505-2E9C-101B-9397-08002B2CF9AE}" pid="10" name="Document Link">
    <vt:lpwstr>/Publications/QQI Submission on the Review of Ireland's International Education Strategy October 2013.docx</vt:lpwstr>
  </property>
  <property fmtid="{D5CDD505-2E9C-101B-9397-08002B2CF9AE}" pid="11" name="Document Type">
    <vt:lpwstr>Consultation</vt:lpwstr>
  </property>
  <property fmtid="{D5CDD505-2E9C-101B-9397-08002B2CF9AE}" pid="12" name="TaxCatchAll">
    <vt:lpwstr>53;#</vt:lpwstr>
  </property>
  <property fmtid="{D5CDD505-2E9C-101B-9397-08002B2CF9AE}" pid="13" name="Document Title">
    <vt:lpwstr>QQI Submission on the Review of Ireland’s International Education Strategy</vt:lpwstr>
  </property>
</Properties>
</file>